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A25" w:rsidRPr="00460CD8" w:rsidRDefault="00210A25" w:rsidP="00210A25">
      <w:pPr>
        <w:pStyle w:val="Nagwek4"/>
        <w:spacing w:line="276" w:lineRule="auto"/>
        <w:jc w:val="center"/>
        <w:rPr>
          <w:rFonts w:ascii="Times New Roman" w:hAnsi="Times New Roman"/>
          <w:color w:val="auto"/>
        </w:rPr>
      </w:pPr>
    </w:p>
    <w:p w:rsidR="00210A25" w:rsidRPr="00B25944" w:rsidRDefault="00210A25" w:rsidP="00210A25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proofErr w:type="spellStart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MATeMAtyka</w:t>
      </w:r>
      <w:proofErr w:type="spellEnd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>4</w:t>
      </w:r>
    </w:p>
    <w:p w:rsidR="00210A25" w:rsidRDefault="00210A25" w:rsidP="00210A25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Zakr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>e</w:t>
      </w:r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s podstawowy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i rozszerzony</w:t>
      </w:r>
    </w:p>
    <w:p w:rsidR="00210A25" w:rsidRPr="00210A25" w:rsidRDefault="00210A25" w:rsidP="00210A2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18"/>
          <w:szCs w:val="32"/>
        </w:rPr>
      </w:pPr>
      <w:r w:rsidRPr="00210A25">
        <w:rPr>
          <w:sz w:val="18"/>
          <w:szCs w:val="32"/>
        </w:rPr>
        <w:t>Agnieszka Kamińska</w:t>
      </w:r>
      <w:r w:rsidRPr="00210A25">
        <w:rPr>
          <w:sz w:val="18"/>
          <w:szCs w:val="32"/>
        </w:rPr>
        <w:br/>
        <w:t xml:space="preserve">Dorota </w:t>
      </w:r>
      <w:proofErr w:type="spellStart"/>
      <w:r w:rsidRPr="00210A25">
        <w:rPr>
          <w:sz w:val="18"/>
          <w:szCs w:val="32"/>
        </w:rPr>
        <w:t>Ponczek</w:t>
      </w:r>
      <w:proofErr w:type="spellEnd"/>
    </w:p>
    <w:p w:rsidR="00210A25" w:rsidRPr="00B25944" w:rsidRDefault="00210A25" w:rsidP="00210A25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</w:p>
    <w:p w:rsidR="00210A25" w:rsidRPr="00460CD8" w:rsidRDefault="00210A25" w:rsidP="00210A2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b/>
        </w:rPr>
      </w:pPr>
    </w:p>
    <w:p w:rsidR="00210A25" w:rsidRPr="00460CD8" w:rsidRDefault="00210A25" w:rsidP="00210A2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jc w:val="center"/>
        <w:rPr>
          <w:b/>
        </w:rPr>
      </w:pPr>
      <w:r w:rsidRPr="00460CD8">
        <w:rPr>
          <w:rFonts w:ascii="Cambria" w:eastAsia="Cambria" w:hAnsi="Cambria" w:cs="Cambria"/>
          <w:b/>
          <w:noProof/>
        </w:rPr>
        <w:drawing>
          <wp:inline distT="0" distB="0" distL="0" distR="0" wp14:anchorId="0C8C2AC5" wp14:editId="78518275">
            <wp:extent cx="869950" cy="584200"/>
            <wp:effectExtent l="0" t="0" r="0" b="0"/>
            <wp:docPr id="3" name="image14.png" descr="Opis: logoNE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Opis: logoNE_rgb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58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10A25" w:rsidRPr="00257835" w:rsidRDefault="00210A25" w:rsidP="00210A25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© Copyright by Nowa Era Sp. z o.o.</w:t>
      </w:r>
    </w:p>
    <w:p w:rsidR="00210A25" w:rsidRPr="00257835" w:rsidRDefault="00210A25" w:rsidP="00210A25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Warszawa 202</w:t>
      </w:r>
      <w:r>
        <w:rPr>
          <w:rFonts w:ascii="Cambria" w:hAnsi="Cambria"/>
          <w:sz w:val="22"/>
          <w:szCs w:val="22"/>
        </w:rPr>
        <w:t>4</w:t>
      </w:r>
    </w:p>
    <w:p w:rsidR="00210A25" w:rsidRPr="00460CD8" w:rsidRDefault="00210A25" w:rsidP="00210A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ambria" w:hAnsi="Cambria" w:cs="Cambria"/>
        </w:rPr>
      </w:pPr>
    </w:p>
    <w:p w:rsidR="00210A25" w:rsidRPr="00357159" w:rsidRDefault="00210A25" w:rsidP="00210A25">
      <w:pPr>
        <w:pStyle w:val="TytulArial20"/>
        <w:jc w:val="right"/>
      </w:pPr>
    </w:p>
    <w:p w:rsidR="00210A25" w:rsidRDefault="00210A25" w:rsidP="00210A25"/>
    <w:p w:rsidR="00210A25" w:rsidRDefault="00210A25" w:rsidP="00210A25"/>
    <w:p w:rsidR="00210A25" w:rsidRDefault="00210A25" w:rsidP="00210A25">
      <w:pPr>
        <w:rPr>
          <w:sz w:val="22"/>
          <w:szCs w:val="20"/>
        </w:rPr>
      </w:pPr>
      <w:r>
        <w:br w:type="page"/>
      </w:r>
    </w:p>
    <w:p w:rsidR="00210A25" w:rsidRPr="00026506" w:rsidRDefault="00210A25" w:rsidP="00210A25">
      <w:pPr>
        <w:rPr>
          <w:sz w:val="22"/>
          <w:szCs w:val="22"/>
        </w:rPr>
      </w:pPr>
      <w:bookmarkStart w:id="0" w:name="_Hlk173766296"/>
    </w:p>
    <w:bookmarkEnd w:id="0"/>
    <w:p w:rsidR="00210A25" w:rsidRDefault="00210A25" w:rsidP="00210A25">
      <w:pPr>
        <w:pStyle w:val="Tekstpodstawowy"/>
      </w:pPr>
      <w:r>
        <w:t>Oznaczenia:</w:t>
      </w:r>
    </w:p>
    <w:p w:rsidR="00210A25" w:rsidRDefault="00210A25" w:rsidP="00210A25">
      <w:pPr>
        <w:pStyle w:val="Lista"/>
        <w:rPr>
          <w:bCs/>
        </w:rPr>
      </w:pPr>
      <w:r>
        <w:t>K – wymagania konieczne; P – wymagania podstawowe; R – wymagania rozszerzające; D – wymagania dopełniające; W – wymagania wykraczające</w:t>
      </w:r>
    </w:p>
    <w:p w:rsidR="00210A25" w:rsidRPr="007D1D52" w:rsidRDefault="00210A25" w:rsidP="00210A25">
      <w:pPr>
        <w:pStyle w:val="Listapunktowana2"/>
        <w:numPr>
          <w:ilvl w:val="0"/>
          <w:numId w:val="0"/>
        </w:numPr>
      </w:pPr>
    </w:p>
    <w:tbl>
      <w:tblPr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827"/>
        <w:gridCol w:w="6270"/>
        <w:gridCol w:w="1101"/>
      </w:tblGrid>
      <w:tr w:rsidR="00210A25" w:rsidTr="00210A25">
        <w:trPr>
          <w:cantSplit/>
          <w:trHeight w:val="158"/>
          <w:tblHeader/>
        </w:trPr>
        <w:tc>
          <w:tcPr>
            <w:tcW w:w="2764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210A25" w:rsidRDefault="00210A25" w:rsidP="00E06F11">
            <w:pPr>
              <w:jc w:val="center"/>
              <w:rPr>
                <w:b/>
              </w:rPr>
            </w:pPr>
            <w:r>
              <w:rPr>
                <w:snapToGrid w:val="0"/>
              </w:rPr>
              <w:t>Temat lekcji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210A25" w:rsidRDefault="00210A25" w:rsidP="00E06F11">
            <w:pPr>
              <w:jc w:val="center"/>
            </w:pPr>
            <w:r>
              <w:t>Zakres treści</w:t>
            </w:r>
          </w:p>
        </w:tc>
        <w:tc>
          <w:tcPr>
            <w:tcW w:w="6270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210A25" w:rsidRDefault="00210A25" w:rsidP="00E06F11">
            <w:pPr>
              <w:jc w:val="center"/>
            </w:pPr>
            <w:r>
              <w:t>Osiągnięcia ucznia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210A25" w:rsidRDefault="00210A25" w:rsidP="00E06F11">
            <w:pPr>
              <w:jc w:val="center"/>
            </w:pPr>
            <w:r>
              <w:t>Poziom wymagań</w:t>
            </w:r>
          </w:p>
        </w:tc>
      </w:tr>
      <w:tr w:rsidR="00210A25" w:rsidTr="00210A25">
        <w:trPr>
          <w:cantSplit/>
        </w:trPr>
        <w:tc>
          <w:tcPr>
            <w:tcW w:w="13962" w:type="dxa"/>
            <w:gridSpan w:val="4"/>
            <w:tcBorders>
              <w:top w:val="nil"/>
            </w:tcBorders>
            <w:shd w:val="clear" w:color="auto" w:fill="BFBFBF" w:themeFill="background1" w:themeFillShade="BF"/>
          </w:tcPr>
          <w:p w:rsidR="00210A25" w:rsidRDefault="00210A25" w:rsidP="00E06F11">
            <w:r>
              <w:rPr>
                <w:b/>
              </w:rPr>
              <w:t>1. RACHUNEK PRAWDOPODOBIEŃSTWA</w:t>
            </w:r>
          </w:p>
        </w:tc>
      </w:tr>
      <w:tr w:rsidR="00210A25" w:rsidTr="00210A25">
        <w:trPr>
          <w:cantSplit/>
          <w:trHeight w:val="1755"/>
        </w:trPr>
        <w:tc>
          <w:tcPr>
            <w:tcW w:w="2764" w:type="dxa"/>
            <w:tcBorders>
              <w:top w:val="nil"/>
            </w:tcBorders>
          </w:tcPr>
          <w:p w:rsidR="00210A25" w:rsidRPr="00700F16" w:rsidRDefault="00210A25" w:rsidP="00E06F11">
            <w:pPr>
              <w:autoSpaceDE w:val="0"/>
              <w:autoSpaceDN w:val="0"/>
              <w:adjustRightInd w:val="0"/>
            </w:pPr>
            <w:r w:rsidRPr="00700F16">
              <w:t>1. Reguła mnożenia</w:t>
            </w:r>
          </w:p>
        </w:tc>
        <w:tc>
          <w:tcPr>
            <w:tcW w:w="3827" w:type="dxa"/>
            <w:tcBorders>
              <w:top w:val="nil"/>
            </w:tcBorders>
          </w:tcPr>
          <w:p w:rsidR="00210A25" w:rsidRPr="00453835" w:rsidRDefault="00210A25" w:rsidP="00E06F11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t>reguła mnożenia</w:t>
            </w:r>
          </w:p>
          <w:p w:rsidR="00210A25" w:rsidRPr="005C25AB" w:rsidRDefault="00210A25" w:rsidP="00E06F11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prezentacja</w:t>
            </w:r>
            <w:r w:rsidRPr="005C25AB">
              <w:rPr>
                <w:color w:val="000000" w:themeColor="text1"/>
              </w:rPr>
              <w:t xml:space="preserve"> wyników doświadczenia za pomocą drzewa</w:t>
            </w:r>
          </w:p>
        </w:tc>
        <w:tc>
          <w:tcPr>
            <w:tcW w:w="6270" w:type="dxa"/>
            <w:tcBorders>
              <w:top w:val="nil"/>
            </w:tcBorders>
          </w:tcPr>
          <w:p w:rsidR="00210A25" w:rsidRDefault="00210A25" w:rsidP="00E06F11">
            <w:pPr>
              <w:jc w:val="both"/>
            </w:pPr>
            <w:r>
              <w:t xml:space="preserve">Uczeń: </w:t>
            </w:r>
          </w:p>
          <w:p w:rsidR="00210A25" w:rsidRPr="00453835" w:rsidRDefault="00210A25" w:rsidP="00E06F11">
            <w:pPr>
              <w:numPr>
                <w:ilvl w:val="0"/>
                <w:numId w:val="2"/>
              </w:numPr>
              <w:ind w:left="357" w:hanging="357"/>
              <w:jc w:val="both"/>
              <w:rPr>
                <w:b/>
              </w:rPr>
            </w:pPr>
            <w:r>
              <w:rPr>
                <w:bCs/>
              </w:rPr>
              <w:t>wypisuje wszystkie wyniki danego doświadczenia</w:t>
            </w:r>
          </w:p>
          <w:p w:rsidR="00210A25" w:rsidRPr="009808FD" w:rsidRDefault="00210A25" w:rsidP="00E06F11">
            <w:pPr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>
              <w:rPr>
                <w:bCs/>
              </w:rPr>
              <w:t xml:space="preserve">stosuje regułę mnożenia do obliczania liczby wyników doświadczenia spełniających dany warunek </w:t>
            </w:r>
          </w:p>
          <w:p w:rsidR="00210A25" w:rsidRPr="00885000" w:rsidRDefault="00210A25" w:rsidP="00E06F11">
            <w:pPr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>
              <w:rPr>
                <w:bCs/>
              </w:rPr>
              <w:t xml:space="preserve">przedstawia drzewo ilustrujące </w:t>
            </w:r>
            <w:r w:rsidRPr="008B1EB2">
              <w:rPr>
                <w:bCs/>
              </w:rPr>
              <w:t xml:space="preserve">zbiór </w:t>
            </w:r>
            <w:r>
              <w:rPr>
                <w:bCs/>
              </w:rPr>
              <w:t>wszystkich możliwych wyników danego doświadczenia</w:t>
            </w:r>
          </w:p>
        </w:tc>
        <w:tc>
          <w:tcPr>
            <w:tcW w:w="1101" w:type="dxa"/>
            <w:tcBorders>
              <w:top w:val="nil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P–R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700F16" w:rsidRDefault="00210A25" w:rsidP="00E06F11">
            <w:pPr>
              <w:autoSpaceDE w:val="0"/>
              <w:autoSpaceDN w:val="0"/>
              <w:adjustRightInd w:val="0"/>
            </w:pPr>
            <w:r w:rsidRPr="00700F16">
              <w:t xml:space="preserve">2. Permutacje </w:t>
            </w:r>
          </w:p>
          <w:p w:rsidR="00210A25" w:rsidRPr="00700F16" w:rsidRDefault="00210A25" w:rsidP="00E06F11"/>
        </w:tc>
        <w:tc>
          <w:tcPr>
            <w:tcW w:w="3827" w:type="dxa"/>
          </w:tcPr>
          <w:p w:rsidR="00210A25" w:rsidRDefault="00210A25" w:rsidP="00E06F11">
            <w:pPr>
              <w:numPr>
                <w:ilvl w:val="0"/>
                <w:numId w:val="3"/>
              </w:numPr>
            </w:pPr>
            <w:r>
              <w:t>definicja permutacji</w:t>
            </w:r>
          </w:p>
          <w:p w:rsidR="00210A25" w:rsidRDefault="00210A25" w:rsidP="00E06F11">
            <w:pPr>
              <w:numPr>
                <w:ilvl w:val="0"/>
                <w:numId w:val="3"/>
              </w:numPr>
            </w:pPr>
            <w:r>
              <w:t>definicja symbolu</w:t>
            </w:r>
            <w:r w:rsidRPr="00B0487D">
              <w:rPr>
                <w:noProof/>
                <w:position w:val="-6"/>
              </w:rPr>
              <w:object w:dxaOrig="24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alt="" style="width:12pt;height:15pt;mso-width-percent:0;mso-height-percent:0;mso-width-percent:0;mso-height-percent:0" o:ole="">
                  <v:imagedata r:id="rId6" o:title=""/>
                </v:shape>
                <o:OLEObject Type="Embed" ProgID="Equation.3" ShapeID="_x0000_i1076" DrawAspect="Content" ObjectID="_1851450206" r:id="rId7"/>
              </w:object>
            </w:r>
          </w:p>
          <w:p w:rsidR="00210A25" w:rsidRDefault="00210A25" w:rsidP="00E06F11">
            <w:pPr>
              <w:numPr>
                <w:ilvl w:val="0"/>
                <w:numId w:val="3"/>
              </w:numPr>
            </w:pPr>
            <w:r>
              <w:t xml:space="preserve">liczba permutacji zbioru </w:t>
            </w:r>
            <w:r>
              <w:br/>
            </w:r>
            <w:r>
              <w:rPr>
                <w:i/>
              </w:rPr>
              <w:t>n</w:t>
            </w:r>
            <w:r>
              <w:t>-elementowego</w:t>
            </w:r>
          </w:p>
          <w:p w:rsidR="00210A25" w:rsidRDefault="00210A25" w:rsidP="00E06F11">
            <w:pPr>
              <w:numPr>
                <w:ilvl w:val="0"/>
                <w:numId w:val="3"/>
              </w:numPr>
            </w:pPr>
            <w:r>
              <w:t>permutacje z powtórzeniami</w:t>
            </w:r>
          </w:p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4"/>
              </w:numPr>
            </w:pPr>
            <w:r>
              <w:t xml:space="preserve">wypisuje </w:t>
            </w:r>
            <w:r w:rsidRPr="00E975A5">
              <w:t>wszystkie możliwe</w:t>
            </w:r>
            <w:r w:rsidRPr="003C5E85">
              <w:rPr>
                <w:sz w:val="22"/>
                <w:szCs w:val="22"/>
              </w:rPr>
              <w:t xml:space="preserve"> </w:t>
            </w:r>
            <w:r>
              <w:t>permutacje danego zbioru</w:t>
            </w:r>
          </w:p>
          <w:p w:rsidR="00210A25" w:rsidRDefault="00210A25" w:rsidP="00E06F11">
            <w:pPr>
              <w:numPr>
                <w:ilvl w:val="0"/>
                <w:numId w:val="4"/>
              </w:numPr>
            </w:pPr>
            <w:r>
              <w:t>oblicza liczbę permutacji danego zbioru</w:t>
            </w:r>
          </w:p>
          <w:p w:rsidR="00210A25" w:rsidRPr="00C04641" w:rsidRDefault="00210A25" w:rsidP="00E06F11">
            <w:pPr>
              <w:numPr>
                <w:ilvl w:val="0"/>
                <w:numId w:val="4"/>
              </w:numPr>
            </w:pPr>
            <w:r>
              <w:t>wykonuje</w:t>
            </w:r>
            <w:r w:rsidRPr="00485989">
              <w:t xml:space="preserve"> </w:t>
            </w:r>
            <w:r w:rsidRPr="00CC0B71">
              <w:t>oblicz</w:t>
            </w:r>
            <w:r>
              <w:t xml:space="preserve">enia, </w:t>
            </w:r>
            <w:r w:rsidRPr="00CC0B71">
              <w:t>stosując definicję silni</w:t>
            </w:r>
          </w:p>
          <w:p w:rsidR="00210A25" w:rsidRDefault="00210A25" w:rsidP="00E06F11">
            <w:pPr>
              <w:numPr>
                <w:ilvl w:val="0"/>
                <w:numId w:val="4"/>
              </w:numPr>
            </w:pPr>
            <w:r w:rsidRPr="00C04641">
              <w:t>wykorzystuje</w:t>
            </w:r>
            <w:r>
              <w:t xml:space="preserve"> </w:t>
            </w:r>
            <w:r w:rsidRPr="00CC0B71">
              <w:t xml:space="preserve">permutacje do </w:t>
            </w:r>
            <w:r>
              <w:t>rozwiązywania zadań</w:t>
            </w:r>
          </w:p>
        </w:tc>
        <w:tc>
          <w:tcPr>
            <w:tcW w:w="1101" w:type="dxa"/>
            <w:tcBorders>
              <w:top w:val="nil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P</w:t>
            </w:r>
          </w:p>
          <w:p w:rsidR="00210A25" w:rsidRDefault="00210A25" w:rsidP="00E06F11">
            <w:pPr>
              <w:jc w:val="center"/>
            </w:pPr>
            <w:r>
              <w:t>P–D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700F16" w:rsidRDefault="00210A25" w:rsidP="00E06F11">
            <w:pPr>
              <w:autoSpaceDE w:val="0"/>
              <w:autoSpaceDN w:val="0"/>
              <w:adjustRightInd w:val="0"/>
            </w:pPr>
            <w:r w:rsidRPr="00700F16">
              <w:t>3. Wariacje bez powtórzeń</w:t>
            </w:r>
          </w:p>
          <w:p w:rsidR="00210A25" w:rsidRPr="00700F16" w:rsidRDefault="00210A25" w:rsidP="00E06F11"/>
        </w:tc>
        <w:tc>
          <w:tcPr>
            <w:tcW w:w="3827" w:type="dxa"/>
          </w:tcPr>
          <w:p w:rsidR="00210A25" w:rsidRDefault="00210A25" w:rsidP="00E06F11">
            <w:pPr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>definicja wariacji bez powtórzeń</w:t>
            </w:r>
          </w:p>
          <w:p w:rsidR="00210A25" w:rsidRPr="00030196" w:rsidRDefault="00210A25" w:rsidP="00E06F11">
            <w:pPr>
              <w:numPr>
                <w:ilvl w:val="0"/>
                <w:numId w:val="3"/>
              </w:numPr>
              <w:rPr>
                <w:b/>
                <w:bCs/>
              </w:rPr>
            </w:pPr>
            <w:r w:rsidRPr="00CC0B71">
              <w:rPr>
                <w:bCs/>
              </w:rPr>
              <w:t>liczba</w:t>
            </w:r>
            <w:r>
              <w:rPr>
                <w:bCs/>
                <w:i/>
              </w:rPr>
              <w:t xml:space="preserve"> k</w:t>
            </w:r>
            <w:r>
              <w:rPr>
                <w:bCs/>
              </w:rPr>
              <w:t xml:space="preserve">-elementowych wariacji bez powtórzeń zbioru </w:t>
            </w:r>
            <w:r>
              <w:rPr>
                <w:bCs/>
              </w:rPr>
              <w:br/>
            </w:r>
            <w:r>
              <w:rPr>
                <w:bCs/>
                <w:i/>
              </w:rPr>
              <w:t>n</w:t>
            </w:r>
            <w:r>
              <w:rPr>
                <w:bCs/>
              </w:rPr>
              <w:t>-elementowego</w:t>
            </w:r>
          </w:p>
          <w:p w:rsidR="00210A25" w:rsidRDefault="00210A25" w:rsidP="00E06F11">
            <w:pPr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Cs/>
              </w:rPr>
              <w:t>reguła dodawania</w:t>
            </w:r>
          </w:p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</w:pPr>
            <w:r w:rsidRPr="00CC0B71">
              <w:t xml:space="preserve">oblicza liczbę wariacji bez powtórzeń </w:t>
            </w:r>
          </w:p>
          <w:p w:rsidR="00210A25" w:rsidRDefault="00210A25" w:rsidP="00E06F11">
            <w:pPr>
              <w:numPr>
                <w:ilvl w:val="0"/>
                <w:numId w:val="6"/>
              </w:numPr>
            </w:pPr>
            <w:r>
              <w:t>stosuje regułę dodawania do</w:t>
            </w:r>
            <w:r>
              <w:rPr>
                <w:bCs/>
              </w:rPr>
              <w:t xml:space="preserve"> obliczania liczby wyników spełniających dany warunek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rPr>
                <w:b/>
              </w:rPr>
            </w:pPr>
            <w:r w:rsidRPr="00C04641">
              <w:t>wykorzystuje</w:t>
            </w:r>
            <w:r>
              <w:t xml:space="preserve"> wariacje bez powtórzeń do rozwiązywania zadań</w:t>
            </w:r>
          </w:p>
        </w:tc>
        <w:tc>
          <w:tcPr>
            <w:tcW w:w="1101" w:type="dxa"/>
          </w:tcPr>
          <w:p w:rsidR="00210A25" w:rsidRDefault="00210A25" w:rsidP="00E06F11"/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</w:tc>
      </w:tr>
      <w:tr w:rsidR="00210A25" w:rsidRPr="00C92B9A" w:rsidTr="00210A25">
        <w:trPr>
          <w:cantSplit/>
        </w:trPr>
        <w:tc>
          <w:tcPr>
            <w:tcW w:w="2764" w:type="dxa"/>
          </w:tcPr>
          <w:p w:rsidR="00210A25" w:rsidRDefault="00210A25" w:rsidP="00E06F11">
            <w:pPr>
              <w:autoSpaceDE w:val="0"/>
              <w:autoSpaceDN w:val="0"/>
              <w:adjustRightInd w:val="0"/>
            </w:pPr>
            <w:r w:rsidRPr="00700F16">
              <w:t xml:space="preserve">4. Wariacje </w:t>
            </w:r>
          </w:p>
          <w:p w:rsidR="00210A25" w:rsidRPr="00700F16" w:rsidRDefault="00210A25" w:rsidP="00E06F11">
            <w:pPr>
              <w:autoSpaceDE w:val="0"/>
              <w:autoSpaceDN w:val="0"/>
              <w:adjustRightInd w:val="0"/>
            </w:pPr>
            <w:r w:rsidRPr="00700F16">
              <w:t>z powtórzeniami</w:t>
            </w:r>
          </w:p>
          <w:p w:rsidR="00210A25" w:rsidRPr="00700F16" w:rsidRDefault="00210A25" w:rsidP="00E06F11"/>
        </w:tc>
        <w:tc>
          <w:tcPr>
            <w:tcW w:w="3827" w:type="dxa"/>
          </w:tcPr>
          <w:p w:rsidR="00210A25" w:rsidRDefault="00210A25" w:rsidP="00E06F11">
            <w:pPr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 xml:space="preserve">definicja wariacji </w:t>
            </w:r>
            <w:r>
              <w:rPr>
                <w:bCs/>
              </w:rPr>
              <w:br/>
              <w:t>z powtórzeniami</w:t>
            </w:r>
          </w:p>
          <w:p w:rsidR="00210A25" w:rsidRPr="00C92B9A" w:rsidRDefault="00210A25" w:rsidP="00210A25">
            <w:pPr>
              <w:numPr>
                <w:ilvl w:val="0"/>
                <w:numId w:val="9"/>
              </w:numPr>
            </w:pPr>
            <w:r>
              <w:rPr>
                <w:bCs/>
              </w:rPr>
              <w:t xml:space="preserve">liczba </w:t>
            </w:r>
            <w:r>
              <w:rPr>
                <w:bCs/>
                <w:i/>
              </w:rPr>
              <w:t>k</w:t>
            </w:r>
            <w:r>
              <w:rPr>
                <w:bCs/>
              </w:rPr>
              <w:t xml:space="preserve">-elementowych wariacji </w:t>
            </w:r>
            <w:r>
              <w:rPr>
                <w:bCs/>
              </w:rPr>
              <w:br/>
              <w:t xml:space="preserve">z powtórzeniami zbioru </w:t>
            </w:r>
            <w:r>
              <w:rPr>
                <w:bCs/>
              </w:rPr>
              <w:br/>
            </w:r>
            <w:r>
              <w:rPr>
                <w:bCs/>
                <w:i/>
              </w:rPr>
              <w:t>n</w:t>
            </w:r>
            <w:r>
              <w:rPr>
                <w:bCs/>
              </w:rPr>
              <w:t>-elementowego</w:t>
            </w:r>
          </w:p>
        </w:tc>
        <w:tc>
          <w:tcPr>
            <w:tcW w:w="6270" w:type="dxa"/>
          </w:tcPr>
          <w:p w:rsidR="00210A25" w:rsidRPr="00C92B9A" w:rsidRDefault="00210A25" w:rsidP="00E06F11">
            <w:pPr>
              <w:jc w:val="both"/>
            </w:pPr>
            <w:r w:rsidRPr="00C92B9A"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</w:pPr>
            <w:r w:rsidRPr="00CC0B71">
              <w:t>oblicza liczbę wariacji z</w:t>
            </w:r>
            <w:r>
              <w:t xml:space="preserve"> </w:t>
            </w:r>
            <w:r w:rsidRPr="00CC0B71">
              <w:t>powtórzeniami</w:t>
            </w:r>
          </w:p>
          <w:p w:rsidR="00210A25" w:rsidRPr="00C92B9A" w:rsidRDefault="00210A25" w:rsidP="00210A25">
            <w:pPr>
              <w:numPr>
                <w:ilvl w:val="0"/>
                <w:numId w:val="10"/>
              </w:numPr>
            </w:pPr>
            <w:r w:rsidRPr="00C04641">
              <w:t>wykorzystuje</w:t>
            </w:r>
            <w:r>
              <w:t xml:space="preserve"> wariacje z powtórzeniami do rozwiązywania zadań </w:t>
            </w:r>
          </w:p>
        </w:tc>
        <w:tc>
          <w:tcPr>
            <w:tcW w:w="1101" w:type="dxa"/>
          </w:tcPr>
          <w:p w:rsidR="00210A25" w:rsidRPr="00C92B9A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 xml:space="preserve">P–D </w:t>
            </w:r>
          </w:p>
          <w:p w:rsidR="00210A25" w:rsidRPr="00C92B9A" w:rsidRDefault="00210A25" w:rsidP="00E06F11">
            <w:pPr>
              <w:jc w:val="center"/>
            </w:pP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851180" w:rsidRDefault="00210A25" w:rsidP="00E06F11">
            <w:pPr>
              <w:autoSpaceDE w:val="0"/>
              <w:autoSpaceDN w:val="0"/>
              <w:adjustRightInd w:val="0"/>
            </w:pPr>
            <w:r w:rsidRPr="00851180">
              <w:lastRenderedPageBreak/>
              <w:t xml:space="preserve">5. Kombinacje </w:t>
            </w:r>
          </w:p>
          <w:p w:rsidR="00210A25" w:rsidRPr="00851180" w:rsidRDefault="00210A25" w:rsidP="00E06F11"/>
        </w:tc>
        <w:tc>
          <w:tcPr>
            <w:tcW w:w="3827" w:type="dxa"/>
          </w:tcPr>
          <w:p w:rsidR="00210A25" w:rsidRPr="00C664FC" w:rsidRDefault="00210A25" w:rsidP="00E06F11">
            <w:pPr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>definicja</w:t>
            </w:r>
            <w:r w:rsidRPr="00C664FC">
              <w:rPr>
                <w:bCs/>
              </w:rPr>
              <w:t xml:space="preserve"> kombinacji</w:t>
            </w:r>
          </w:p>
          <w:p w:rsidR="00210A25" w:rsidRPr="00045707" w:rsidRDefault="00210A25" w:rsidP="00E06F11">
            <w:pPr>
              <w:numPr>
                <w:ilvl w:val="0"/>
                <w:numId w:val="3"/>
              </w:numPr>
              <w:rPr>
                <w:bCs/>
              </w:rPr>
            </w:pPr>
            <w:r w:rsidRPr="00045707">
              <w:rPr>
                <w:bCs/>
              </w:rPr>
              <w:t xml:space="preserve">liczba </w:t>
            </w:r>
            <w:r w:rsidRPr="00045707">
              <w:rPr>
                <w:bCs/>
                <w:i/>
              </w:rPr>
              <w:t>k</w:t>
            </w:r>
            <w:r w:rsidRPr="00045707">
              <w:rPr>
                <w:bCs/>
              </w:rPr>
              <w:t xml:space="preserve">-elementowych kombinacji zbioru </w:t>
            </w:r>
            <w:r>
              <w:rPr>
                <w:bCs/>
              </w:rPr>
              <w:br/>
            </w:r>
            <w:r w:rsidRPr="00045707">
              <w:rPr>
                <w:bCs/>
                <w:i/>
              </w:rPr>
              <w:t>n</w:t>
            </w:r>
            <w:r w:rsidRPr="00045707">
              <w:rPr>
                <w:bCs/>
              </w:rPr>
              <w:t>-elementowego</w:t>
            </w:r>
          </w:p>
          <w:p w:rsidR="00210A25" w:rsidRPr="00573919" w:rsidRDefault="00210A25" w:rsidP="00E06F11">
            <w:pPr>
              <w:numPr>
                <w:ilvl w:val="0"/>
                <w:numId w:val="3"/>
              </w:numPr>
              <w:rPr>
                <w:bCs/>
              </w:rPr>
            </w:pPr>
            <w:r w:rsidRPr="00573919">
              <w:rPr>
                <w:bCs/>
              </w:rPr>
              <w:t>symbol Newtona</w:t>
            </w:r>
          </w:p>
          <w:p w:rsidR="00210A25" w:rsidRPr="00A20AC5" w:rsidRDefault="00210A25" w:rsidP="00E06F11">
            <w:pPr>
              <w:numPr>
                <w:ilvl w:val="0"/>
                <w:numId w:val="7"/>
              </w:numPr>
            </w:pPr>
            <w:r w:rsidRPr="00212F3D">
              <w:rPr>
                <w:bCs/>
              </w:rPr>
              <w:t>wzór dwumianowy Newtona</w:t>
            </w:r>
          </w:p>
          <w:p w:rsidR="00210A25" w:rsidRPr="00212F3D" w:rsidRDefault="00210A25" w:rsidP="00E06F11">
            <w:pPr>
              <w:numPr>
                <w:ilvl w:val="0"/>
                <w:numId w:val="7"/>
              </w:numPr>
            </w:pPr>
            <w:r>
              <w:rPr>
                <w:bCs/>
              </w:rPr>
              <w:t>trójkąt Pascala</w:t>
            </w:r>
          </w:p>
        </w:tc>
        <w:tc>
          <w:tcPr>
            <w:tcW w:w="6270" w:type="dxa"/>
          </w:tcPr>
          <w:p w:rsidR="00210A25" w:rsidRPr="00FB7587" w:rsidRDefault="00210A25" w:rsidP="00E06F11">
            <w:r>
              <w:t>Uczeń:</w:t>
            </w:r>
          </w:p>
          <w:p w:rsidR="00210A25" w:rsidRPr="00851180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oblicza wartość symbolu Newtona </w:t>
            </w:r>
            <w:r w:rsidRPr="00851180">
              <w:rPr>
                <w:bCs/>
                <w:noProof/>
                <w:position w:val="-30"/>
              </w:rPr>
              <w:object w:dxaOrig="420" w:dyaOrig="720">
                <v:shape id="_x0000_i1077" type="#_x0000_t75" alt="" style="width:20.25pt;height:36.75pt;mso-width-percent:0;mso-height-percent:0;mso-width-percent:0;mso-height-percent:0" o:ole="">
                  <v:imagedata r:id="rId8" o:title=""/>
                </v:shape>
                <o:OLEObject Type="Embed" ProgID="Equation.3" ShapeID="_x0000_i1077" DrawAspect="Content" ObjectID="_1851450207" r:id="rId9"/>
              </w:object>
            </w:r>
            <w:r w:rsidRPr="00851180">
              <w:rPr>
                <w:bCs/>
              </w:rPr>
              <w:t xml:space="preserve">, gdzie </w:t>
            </w:r>
            <w:r w:rsidRPr="00851180">
              <w:rPr>
                <w:bCs/>
                <w:i/>
              </w:rPr>
              <w:t>n</w:t>
            </w:r>
            <w:r w:rsidRPr="00851180">
              <w:rPr>
                <w:bCs/>
              </w:rPr>
              <w:t xml:space="preserve"> </w:t>
            </w:r>
            <w:r w:rsidRPr="00851180">
              <w:rPr>
                <w:bCs/>
              </w:rPr>
              <w:sym w:font="Symbol" w:char="F0B3"/>
            </w:r>
            <w:r w:rsidRPr="00851180">
              <w:rPr>
                <w:bCs/>
              </w:rPr>
              <w:t xml:space="preserve"> </w:t>
            </w:r>
            <w:r w:rsidRPr="00851180">
              <w:rPr>
                <w:bCs/>
                <w:i/>
              </w:rPr>
              <w:t>k</w:t>
            </w:r>
          </w:p>
          <w:p w:rsidR="00210A25" w:rsidRPr="00C664FC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oblicza </w:t>
            </w:r>
            <w:r w:rsidRPr="00573919">
              <w:t>liczbę</w:t>
            </w:r>
            <w:r w:rsidRPr="00A36090">
              <w:rPr>
                <w:color w:val="FF0000"/>
              </w:rPr>
              <w:t xml:space="preserve"> </w:t>
            </w:r>
            <w:r w:rsidRPr="00C664FC">
              <w:t>kombinacji</w:t>
            </w:r>
          </w:p>
          <w:p w:rsidR="00210A25" w:rsidRPr="00C664FC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C664FC">
              <w:t xml:space="preserve">wypisuje </w:t>
            </w:r>
            <w:r>
              <w:t xml:space="preserve">wszystkie </w:t>
            </w:r>
            <w:r w:rsidRPr="00C664FC">
              <w:rPr>
                <w:i/>
              </w:rPr>
              <w:t>k</w:t>
            </w:r>
            <w:r w:rsidRPr="00C664FC">
              <w:t>-elementowe kombinacje danego zbioru</w:t>
            </w:r>
            <w:r>
              <w:t xml:space="preserve"> </w:t>
            </w:r>
            <w:r>
              <w:rPr>
                <w:i/>
                <w:iCs/>
              </w:rPr>
              <w:t>n</w:t>
            </w:r>
            <w:r>
              <w:t xml:space="preserve">-elementowego, np. dla </w:t>
            </w:r>
            <w:r>
              <w:rPr>
                <w:i/>
                <w:iCs/>
              </w:rPr>
              <w:t>k</w:t>
            </w:r>
            <w:r>
              <w:t xml:space="preserve"> = 4, </w:t>
            </w:r>
            <w:r>
              <w:rPr>
                <w:i/>
                <w:iCs/>
              </w:rPr>
              <w:t>n</w:t>
            </w:r>
            <w:r>
              <w:t xml:space="preserve"> = 5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C04641">
              <w:t>wykorzystuje</w:t>
            </w:r>
            <w:r w:rsidRPr="00C664FC">
              <w:t xml:space="preserve"> kombinacje </w:t>
            </w:r>
            <w:r>
              <w:t>do</w:t>
            </w:r>
            <w:r w:rsidRPr="00C664FC">
              <w:t xml:space="preserve"> rozwiązywania zadań</w:t>
            </w:r>
          </w:p>
          <w:p w:rsidR="00210A25" w:rsidRPr="00C664FC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własności trójkąta Pascala </w:t>
            </w:r>
          </w:p>
          <w:p w:rsidR="00210A25" w:rsidRPr="00212F3D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212F3D">
              <w:t>wykorzystuje</w:t>
            </w:r>
            <w:r>
              <w:t xml:space="preserve"> </w:t>
            </w:r>
            <w:r w:rsidRPr="00212F3D">
              <w:t xml:space="preserve">wzór dwumianowy Newtona do rozwinięcia wyrażeń postaci </w:t>
            </w:r>
            <w:r w:rsidRPr="00212F3D">
              <w:rPr>
                <w:noProof/>
                <w:position w:val="-10"/>
              </w:rPr>
              <w:object w:dxaOrig="780" w:dyaOrig="380">
                <v:shape id="_x0000_i1078" type="#_x0000_t75" alt="" style="width:39pt;height:18.75pt;mso-width-percent:0;mso-height-percent:0;mso-width-percent:0;mso-height-percent:0" o:ole="">
                  <v:imagedata r:id="rId10" o:title=""/>
                </v:shape>
                <o:OLEObject Type="Embed" ProgID="Equation.3" ShapeID="_x0000_i1078" DrawAspect="Content" ObjectID="_1851450208" r:id="rId11"/>
              </w:object>
            </w:r>
            <w:r w:rsidRPr="00212F3D">
              <w:t xml:space="preserve"> i wyznacz</w:t>
            </w:r>
            <w:r>
              <w:t>e</w:t>
            </w:r>
            <w:r w:rsidRPr="00212F3D">
              <w:t>nia współczynników wielomianów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uzasadnia zależności, w których występuje symbol Newtona, w tym twierdzenie: jeśli </w:t>
            </w:r>
            <m:oMath>
              <m:r>
                <w:rPr>
                  <w:rFonts w:ascii="Cambria Math" w:hAnsi="Cambria Math"/>
                </w:rPr>
                <m:t>0&lt;k&lt;n</m:t>
              </m:r>
            </m:oMath>
            <w:r>
              <w:t xml:space="preserve">, to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k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n-1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k-1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n-1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k</m:t>
                      </m:r>
                    </m:den>
                  </m:f>
                </m:e>
              </m:d>
            </m:oMath>
            <w:r>
              <w:t xml:space="preserve"> oraz wzory skróconego mnożenia na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±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oMath>
            <w:r>
              <w:t xml:space="preserve"> i wniosek: </w:t>
            </w:r>
            <m:oMath>
              <m:r>
                <w:rPr>
                  <w:rFonts w:ascii="Cambria Math" w:hAnsi="Cambria Math"/>
                </w:rPr>
                <m:t>a-b│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oMath>
            <w:r>
              <w:t xml:space="preserve"> dla </w:t>
            </w:r>
            <m:oMath>
              <m:r>
                <w:rPr>
                  <w:rFonts w:ascii="Cambria Math" w:hAnsi="Cambria Math"/>
                </w:rPr>
                <m:t>a,b∈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</m:oMath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  <w:rPr>
                <w:sz w:val="22"/>
                <w:szCs w:val="22"/>
              </w:rPr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br/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K–D</w:t>
            </w:r>
          </w:p>
          <w:p w:rsidR="00210A25" w:rsidRDefault="00210A25" w:rsidP="00E06F11">
            <w:pPr>
              <w:jc w:val="center"/>
            </w:pPr>
            <w:r>
              <w:t>P–R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 xml:space="preserve">R–D 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Pr="0060313A" w:rsidRDefault="00210A25" w:rsidP="00E06F11">
            <w:pPr>
              <w:jc w:val="center"/>
              <w:rPr>
                <w:sz w:val="22"/>
                <w:szCs w:val="22"/>
              </w:rPr>
            </w:pPr>
            <w:r>
              <w:t xml:space="preserve">R–D 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851180" w:rsidRDefault="00210A25" w:rsidP="00E06F11">
            <w:pPr>
              <w:autoSpaceDE w:val="0"/>
              <w:autoSpaceDN w:val="0"/>
              <w:adjustRightInd w:val="0"/>
            </w:pPr>
            <w:r w:rsidRPr="00851180">
              <w:t xml:space="preserve">6. Kombinatoryka </w:t>
            </w:r>
            <w:r>
              <w:t xml:space="preserve">‒ </w:t>
            </w:r>
            <w:r w:rsidRPr="00851180">
              <w:t>zadania</w:t>
            </w:r>
          </w:p>
          <w:p w:rsidR="00210A25" w:rsidRPr="00851180" w:rsidRDefault="00210A25" w:rsidP="00E06F11"/>
        </w:tc>
        <w:tc>
          <w:tcPr>
            <w:tcW w:w="3827" w:type="dxa"/>
          </w:tcPr>
          <w:p w:rsidR="00210A25" w:rsidRPr="00435A87" w:rsidRDefault="00210A25" w:rsidP="00E06F11">
            <w:pPr>
              <w:numPr>
                <w:ilvl w:val="0"/>
                <w:numId w:val="7"/>
              </w:numPr>
            </w:pPr>
            <w:r>
              <w:rPr>
                <w:bCs/>
              </w:rPr>
              <w:t>zestawienie podstawowych pojęć kombinatoryki: permutacje, wariacje i kombinacje</w:t>
            </w:r>
          </w:p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8"/>
              </w:numPr>
            </w:pPr>
            <w:r w:rsidRPr="0096031B">
              <w:t xml:space="preserve">wykorzystuje </w:t>
            </w:r>
            <w:r>
              <w:t xml:space="preserve">podstawowe pojęcia kombinatoryki </w:t>
            </w:r>
          </w:p>
          <w:p w:rsidR="00210A25" w:rsidRDefault="00210A25" w:rsidP="00E06F11">
            <w:pPr>
              <w:ind w:left="360"/>
            </w:pPr>
            <w:r>
              <w:t>do rozwiązywania zadań</w:t>
            </w:r>
          </w:p>
        </w:tc>
        <w:tc>
          <w:tcPr>
            <w:tcW w:w="1101" w:type="dxa"/>
          </w:tcPr>
          <w:p w:rsidR="00210A25" w:rsidRDefault="00210A25" w:rsidP="00E06F11"/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K–D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477187" w:rsidRDefault="00210A25" w:rsidP="00E06F11">
            <w:pPr>
              <w:autoSpaceDE w:val="0"/>
              <w:autoSpaceDN w:val="0"/>
              <w:adjustRightInd w:val="0"/>
            </w:pPr>
            <w:r w:rsidRPr="00477187">
              <w:lastRenderedPageBreak/>
              <w:t xml:space="preserve">7. Zdarzenia losowe </w:t>
            </w:r>
          </w:p>
          <w:p w:rsidR="00210A25" w:rsidRPr="00477187" w:rsidRDefault="00210A25" w:rsidP="00E06F11"/>
        </w:tc>
        <w:tc>
          <w:tcPr>
            <w:tcW w:w="3827" w:type="dxa"/>
          </w:tcPr>
          <w:p w:rsidR="00210A25" w:rsidRPr="004E1166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>
              <w:rPr>
                <w:bCs/>
              </w:rPr>
              <w:t>pojęcie</w:t>
            </w:r>
            <w:r w:rsidRPr="00601ED3">
              <w:rPr>
                <w:bCs/>
              </w:rPr>
              <w:t xml:space="preserve"> zdarzenia elementarnego </w:t>
            </w:r>
            <w:r>
              <w:rPr>
                <w:bCs/>
              </w:rPr>
              <w:t xml:space="preserve">pojęcie </w:t>
            </w:r>
            <w:r w:rsidRPr="004E1166">
              <w:rPr>
                <w:bCs/>
              </w:rPr>
              <w:t>przestrzeni zdarzeń elementarnych</w:t>
            </w:r>
          </w:p>
          <w:p w:rsidR="00210A25" w:rsidRPr="004E1166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>
              <w:rPr>
                <w:bCs/>
              </w:rPr>
              <w:t xml:space="preserve">pojęcie </w:t>
            </w:r>
            <w:r w:rsidRPr="004E1166">
              <w:rPr>
                <w:bCs/>
              </w:rPr>
              <w:t>zdarzenia losowego</w:t>
            </w:r>
          </w:p>
          <w:p w:rsidR="00210A25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 w:rsidRPr="004E1166">
              <w:rPr>
                <w:bCs/>
              </w:rPr>
              <w:t>wyniki sprzyjając</w:t>
            </w:r>
            <w:r w:rsidRPr="001D098F">
              <w:rPr>
                <w:bCs/>
              </w:rPr>
              <w:t xml:space="preserve">e zdarzeniu losowemu </w:t>
            </w:r>
          </w:p>
          <w:p w:rsidR="00210A25" w:rsidRPr="00477187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 w:rsidRPr="001D098F">
              <w:rPr>
                <w:bCs/>
              </w:rPr>
              <w:t>zdarzenie pewne, zdarzenie niemożliwe</w:t>
            </w:r>
          </w:p>
          <w:p w:rsidR="00210A25" w:rsidRPr="001D098F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 w:rsidRPr="001D098F">
              <w:t>suma,</w:t>
            </w:r>
            <w:r>
              <w:t xml:space="preserve"> </w:t>
            </w:r>
            <w:r w:rsidRPr="001D098F">
              <w:t>iloczyn i różnica zdarzeń losowych</w:t>
            </w:r>
          </w:p>
          <w:p w:rsidR="00210A25" w:rsidRPr="00477187" w:rsidRDefault="00210A25" w:rsidP="00210A25">
            <w:pPr>
              <w:numPr>
                <w:ilvl w:val="0"/>
                <w:numId w:val="11"/>
              </w:numPr>
            </w:pPr>
            <w:r w:rsidRPr="001D098F">
              <w:rPr>
                <w:bCs/>
              </w:rPr>
              <w:t>z</w:t>
            </w:r>
            <w:r>
              <w:rPr>
                <w:bCs/>
              </w:rPr>
              <w:t>darzenia wykluczające się</w:t>
            </w:r>
          </w:p>
          <w:p w:rsidR="00210A25" w:rsidRPr="00A36865" w:rsidRDefault="00210A25" w:rsidP="00210A25">
            <w:pPr>
              <w:numPr>
                <w:ilvl w:val="0"/>
                <w:numId w:val="11"/>
              </w:numPr>
              <w:rPr>
                <w:sz w:val="22"/>
              </w:rPr>
            </w:pPr>
            <w:r w:rsidRPr="001D098F">
              <w:rPr>
                <w:bCs/>
              </w:rPr>
              <w:t>zdarzenie przeciwne</w:t>
            </w:r>
          </w:p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określa przestrzeń zdarzeń elementarnych dla danego doświadczenia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wypisuje wyniki sprzyjające danemu zdarzeniu losowemu</w:t>
            </w:r>
          </w:p>
          <w:p w:rsidR="00210A25" w:rsidRDefault="00210A25" w:rsidP="00210A25">
            <w:pPr>
              <w:numPr>
                <w:ilvl w:val="0"/>
                <w:numId w:val="12"/>
              </w:numPr>
            </w:pPr>
            <w:r>
              <w:t>określa zdarzenia: niemożliwe i pewne</w:t>
            </w:r>
          </w:p>
          <w:p w:rsidR="00210A25" w:rsidRPr="004770A9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4770A9">
              <w:t>wyznacza sumę, iloczyn i różnicę zdarzeń losowych</w:t>
            </w:r>
          </w:p>
          <w:p w:rsidR="00210A25" w:rsidRPr="00435A87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212F3D">
              <w:t xml:space="preserve">wypisuje pary zdarzeń przeciwnych i pary zdarzeń wykluczających się 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 xml:space="preserve">K–P </w:t>
            </w:r>
          </w:p>
          <w:p w:rsidR="00210A25" w:rsidRPr="00435A87" w:rsidRDefault="00210A25" w:rsidP="00E06F11">
            <w:pPr>
              <w:jc w:val="center"/>
            </w:pP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477187" w:rsidRDefault="00210A25" w:rsidP="00E06F11">
            <w:pPr>
              <w:autoSpaceDE w:val="0"/>
              <w:autoSpaceDN w:val="0"/>
              <w:adjustRightInd w:val="0"/>
            </w:pPr>
            <w:r w:rsidRPr="00477187">
              <w:t xml:space="preserve">8. Prawdopodobieństwo klasyczne </w:t>
            </w:r>
          </w:p>
          <w:p w:rsidR="00210A25" w:rsidRPr="00477187" w:rsidRDefault="00210A25" w:rsidP="00E06F11"/>
        </w:tc>
        <w:tc>
          <w:tcPr>
            <w:tcW w:w="3827" w:type="dxa"/>
          </w:tcPr>
          <w:p w:rsidR="00210A25" w:rsidRPr="00CA40E1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 w:rsidRPr="00CA40E1">
              <w:rPr>
                <w:bCs/>
              </w:rPr>
              <w:t>pojęcie prawdopodobieństwa</w:t>
            </w:r>
          </w:p>
          <w:p w:rsidR="00210A25" w:rsidRPr="00601ED3" w:rsidRDefault="00210A25" w:rsidP="00210A25">
            <w:pPr>
              <w:numPr>
                <w:ilvl w:val="0"/>
                <w:numId w:val="14"/>
              </w:numPr>
            </w:pPr>
            <w:r w:rsidRPr="008B2F1B">
              <w:rPr>
                <w:bCs/>
              </w:rPr>
              <w:t>klasyczna definicja prawdopodobieństwa</w:t>
            </w:r>
          </w:p>
          <w:p w:rsidR="00210A25" w:rsidRDefault="00210A25" w:rsidP="00E06F11"/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>Uczeń:</w:t>
            </w:r>
          </w:p>
          <w:p w:rsidR="00210A25" w:rsidRDefault="00210A25" w:rsidP="00210A25">
            <w:pPr>
              <w:numPr>
                <w:ilvl w:val="0"/>
                <w:numId w:val="13"/>
              </w:numPr>
            </w:pPr>
            <w:r>
              <w:t>oblicza prawdopodobieństwa zdarzeń losowych, stosując klasyczną definicję prawdopodobieństwa</w:t>
            </w:r>
          </w:p>
          <w:p w:rsidR="00210A25" w:rsidRDefault="00210A25" w:rsidP="00210A25">
            <w:pPr>
              <w:numPr>
                <w:ilvl w:val="0"/>
                <w:numId w:val="13"/>
              </w:numPr>
            </w:pPr>
            <w:r>
              <w:t>wykorzystuje regułę mnożenia, regułę dodawania, permutacje, wariacje i kombinacje do obliczania prawdopodobieństw zdarzeń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K–D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5D2B52" w:rsidRDefault="00210A25" w:rsidP="00E06F11">
            <w:pPr>
              <w:autoSpaceDE w:val="0"/>
              <w:autoSpaceDN w:val="0"/>
              <w:adjustRightInd w:val="0"/>
            </w:pPr>
            <w:r w:rsidRPr="005D2B52">
              <w:lastRenderedPageBreak/>
              <w:t xml:space="preserve">9. Własności prawdopodobieństwa </w:t>
            </w:r>
          </w:p>
          <w:p w:rsidR="00210A25" w:rsidRPr="005D2B52" w:rsidRDefault="00210A25" w:rsidP="00E06F11"/>
        </w:tc>
        <w:tc>
          <w:tcPr>
            <w:tcW w:w="3827" w:type="dxa"/>
          </w:tcPr>
          <w:p w:rsidR="00210A25" w:rsidRPr="00212F3D" w:rsidRDefault="00210A25" w:rsidP="00E06F11">
            <w:pPr>
              <w:numPr>
                <w:ilvl w:val="0"/>
                <w:numId w:val="7"/>
              </w:numPr>
              <w:rPr>
                <w:bCs/>
              </w:rPr>
            </w:pPr>
            <w:r w:rsidRPr="00212F3D">
              <w:rPr>
                <w:bCs/>
              </w:rPr>
              <w:t>określenie</w:t>
            </w:r>
            <w:r>
              <w:rPr>
                <w:bCs/>
              </w:rPr>
              <w:t xml:space="preserve"> prawdopodobieństwa</w:t>
            </w:r>
            <w:r w:rsidRPr="00212F3D">
              <w:rPr>
                <w:bCs/>
              </w:rPr>
              <w:t xml:space="preserve">: </w:t>
            </w:r>
          </w:p>
          <w:p w:rsidR="00210A25" w:rsidRPr="00212F3D" w:rsidRDefault="00210A25" w:rsidP="00E06F11">
            <w:pPr>
              <w:ind w:left="360"/>
              <w:rPr>
                <w:bCs/>
              </w:rPr>
            </w:pPr>
            <w:r w:rsidRPr="00212F3D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212F3D">
              <w:rPr>
                <w:bCs/>
                <w:noProof/>
                <w:position w:val="-10"/>
              </w:rPr>
              <w:object w:dxaOrig="1200" w:dyaOrig="340">
                <v:shape id="_x0000_i1079" type="#_x0000_t75" alt="" style="width:60pt;height:17.25pt;mso-width-percent:0;mso-height-percent:0;mso-width-percent:0;mso-height-percent:0" o:ole="">
                  <v:imagedata r:id="rId12" o:title=""/>
                </v:shape>
                <o:OLEObject Type="Embed" ProgID="Equation.3" ShapeID="_x0000_i1079" DrawAspect="Content" ObjectID="_1851450209" r:id="rId13"/>
              </w:object>
            </w:r>
            <w:r>
              <w:rPr>
                <w:bCs/>
              </w:rPr>
              <w:t xml:space="preserve"> </w:t>
            </w:r>
            <w:r w:rsidRPr="00212F3D">
              <w:rPr>
                <w:bCs/>
              </w:rPr>
              <w:t>dla</w:t>
            </w:r>
            <w:r>
              <w:rPr>
                <w:bCs/>
              </w:rPr>
              <w:t xml:space="preserve"> dowolnego zdarzenia</w:t>
            </w:r>
            <w:r w:rsidRPr="00212F3D">
              <w:rPr>
                <w:noProof/>
                <w:position w:val="-4"/>
              </w:rPr>
              <w:object w:dxaOrig="720" w:dyaOrig="260">
                <v:shape id="_x0000_i1080" type="#_x0000_t75" alt="" style="width:36.75pt;height:12.75pt;mso-width-percent:0;mso-height-percent:0;mso-width-percent:0;mso-height-percent:0" o:ole="">
                  <v:imagedata r:id="rId14" o:title=""/>
                </v:shape>
                <o:OLEObject Type="Embed" ProgID="Equation.3" ShapeID="_x0000_i1080" DrawAspect="Content" ObjectID="_1851450210" r:id="rId15"/>
              </w:object>
            </w:r>
          </w:p>
          <w:p w:rsidR="00210A25" w:rsidRPr="00212F3D" w:rsidRDefault="00210A25" w:rsidP="00E06F11">
            <w:pPr>
              <w:ind w:left="355"/>
              <w:rPr>
                <w:bCs/>
              </w:rPr>
            </w:pPr>
            <w:r w:rsidRPr="00212F3D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5D2B52">
              <w:rPr>
                <w:bCs/>
                <w:i/>
              </w:rPr>
              <w:t>P</w:t>
            </w:r>
            <w:r w:rsidRPr="00212F3D">
              <w:rPr>
                <w:bCs/>
              </w:rPr>
              <w:t>(</w:t>
            </w:r>
            <m:oMath>
              <m:r>
                <w:rPr>
                  <w:rFonts w:ascii="Cambria Math" w:hAnsi="Cambria Math"/>
                </w:rPr>
                <m:t>∅</m:t>
              </m:r>
            </m:oMath>
            <w:r w:rsidRPr="00212F3D">
              <w:t>)</w:t>
            </w:r>
            <w:r>
              <w:t xml:space="preserve"> </w:t>
            </w:r>
            <w:r w:rsidRPr="005D2B52">
              <w:t>=</w:t>
            </w:r>
            <w:r>
              <w:t xml:space="preserve"> </w:t>
            </w:r>
            <w:r w:rsidRPr="00212F3D">
              <w:t xml:space="preserve">0, </w:t>
            </w:r>
            <w:r w:rsidRPr="00212F3D">
              <w:rPr>
                <w:bCs/>
                <w:noProof/>
                <w:position w:val="-10"/>
              </w:rPr>
              <w:object w:dxaOrig="900" w:dyaOrig="340">
                <v:shape id="_x0000_i1081" type="#_x0000_t75" alt="" style="width:45pt;height:17.25pt;mso-width-percent:0;mso-height-percent:0;mso-width-percent:0;mso-height-percent:0" o:ole="">
                  <v:imagedata r:id="rId16" o:title=""/>
                </v:shape>
                <o:OLEObject Type="Embed" ProgID="Equation.3" ShapeID="_x0000_i1081" DrawAspect="Content" ObjectID="_1851450211" r:id="rId17"/>
              </w:object>
            </w:r>
          </w:p>
          <w:p w:rsidR="00210A25" w:rsidRPr="00212F3D" w:rsidRDefault="00210A25" w:rsidP="00E06F11">
            <w:pPr>
              <w:ind w:left="638" w:hanging="283"/>
              <w:rPr>
                <w:bCs/>
              </w:rPr>
            </w:pPr>
            <w:r w:rsidRPr="00212F3D">
              <w:rPr>
                <w:bCs/>
              </w:rPr>
              <w:t>3.</w:t>
            </w:r>
            <w:r w:rsidRPr="00212F3D">
              <w:rPr>
                <w:noProof/>
                <w:position w:val="-10"/>
              </w:rPr>
              <w:object w:dxaOrig="2400" w:dyaOrig="340">
                <v:shape id="_x0000_i1082" type="#_x0000_t75" alt="" style="width:120pt;height:17.25pt;mso-width-percent:0;mso-height-percent:0;mso-width-percent:0;mso-height-percent:0" o:ole="">
                  <v:imagedata r:id="rId18" o:title=""/>
                </v:shape>
                <o:OLEObject Type="Embed" ProgID="Equation.3" ShapeID="_x0000_i1082" DrawAspect="Content" ObjectID="_1851450212" r:id="rId19"/>
              </w:object>
            </w:r>
            <w:r w:rsidRPr="00212F3D">
              <w:t>dla</w:t>
            </w:r>
            <w:r>
              <w:t> </w:t>
            </w:r>
            <w:r w:rsidRPr="00212F3D">
              <w:t>dowolnych zdarzeń</w:t>
            </w:r>
            <w:r>
              <w:t xml:space="preserve"> </w:t>
            </w:r>
            <w:r>
              <w:br/>
            </w:r>
            <w:r w:rsidRPr="00212F3D">
              <w:t>rozłącznych</w:t>
            </w:r>
            <w:r w:rsidRPr="00212F3D">
              <w:rPr>
                <w:noProof/>
                <w:position w:val="-10"/>
              </w:rPr>
              <w:object w:dxaOrig="960" w:dyaOrig="320">
                <v:shape id="_x0000_i1083" type="#_x0000_t75" alt="" style="width:48pt;height:15.75pt;mso-width-percent:0;mso-height-percent:0;mso-width-percent:0;mso-height-percent:0" o:ole="">
                  <v:imagedata r:id="rId20" o:title=""/>
                </v:shape>
                <o:OLEObject Type="Embed" ProgID="Equation.3" ShapeID="_x0000_i1083" DrawAspect="Content" ObjectID="_1851450213" r:id="rId21"/>
              </w:object>
            </w:r>
            <w:r>
              <w:t xml:space="preserve"> </w:t>
            </w:r>
          </w:p>
          <w:p w:rsidR="00210A25" w:rsidRPr="00212F3D" w:rsidRDefault="00210A25" w:rsidP="00210A25">
            <w:pPr>
              <w:numPr>
                <w:ilvl w:val="0"/>
                <w:numId w:val="15"/>
              </w:numPr>
            </w:pPr>
            <w:r w:rsidRPr="00212F3D">
              <w:rPr>
                <w:bCs/>
              </w:rPr>
              <w:t>własności prawdopodobieństwa:</w:t>
            </w:r>
          </w:p>
          <w:p w:rsidR="00210A25" w:rsidRDefault="00210A25" w:rsidP="00E06F11">
            <w:pPr>
              <w:ind w:left="360"/>
              <w:rPr>
                <w:bCs/>
              </w:rPr>
            </w:pPr>
            <w:r w:rsidRPr="00212F3D">
              <w:rPr>
                <w:bCs/>
              </w:rPr>
              <w:t>1. Jeżeli</w:t>
            </w:r>
            <w:r w:rsidRPr="00212F3D">
              <w:rPr>
                <w:noProof/>
                <w:position w:val="-10"/>
              </w:rPr>
              <w:object w:dxaOrig="960" w:dyaOrig="320">
                <v:shape id="_x0000_i1084" type="#_x0000_t75" alt="" style="width:48pt;height:15.75pt;mso-width-percent:0;mso-height-percent:0;mso-width-percent:0;mso-height-percent:0" o:ole="">
                  <v:imagedata r:id="rId20" o:title=""/>
                </v:shape>
                <o:OLEObject Type="Embed" ProgID="Equation.3" ShapeID="_x0000_i1084" DrawAspect="Content" ObjectID="_1851450214" r:id="rId22"/>
              </w:object>
            </w:r>
            <w:r w:rsidRPr="00212F3D">
              <w:rPr>
                <w:bCs/>
              </w:rPr>
              <w:t xml:space="preserve"> oraz</w:t>
            </w:r>
            <w:r>
              <w:rPr>
                <w:bCs/>
              </w:rPr>
              <w:t xml:space="preserve"> </w:t>
            </w:r>
            <w:r w:rsidRPr="005D2B52">
              <w:rPr>
                <w:bCs/>
                <w:i/>
              </w:rPr>
              <w:t>A</w:t>
            </w:r>
            <w:r w:rsidRPr="00212F3D">
              <w:rPr>
                <w:noProof/>
                <w:position w:val="-4"/>
              </w:rPr>
              <w:object w:dxaOrig="460" w:dyaOrig="260">
                <v:shape id="_x0000_i1085" type="#_x0000_t75" alt="" style="width:21.75pt;height:12.75pt;mso-width-percent:0;mso-height-percent:0;mso-width-percent:0;mso-height-percent:0" o:ole="">
                  <v:imagedata r:id="rId23" o:title=""/>
                </v:shape>
                <o:OLEObject Type="Embed" ProgID="Equation.3" ShapeID="_x0000_i1085" DrawAspect="Content" ObjectID="_1851450215" r:id="rId24"/>
              </w:object>
            </w:r>
            <w:r>
              <w:t>, to</w:t>
            </w:r>
          </w:p>
          <w:p w:rsidR="00210A25" w:rsidRDefault="00210A25" w:rsidP="00E06F11">
            <w:pPr>
              <w:ind w:left="497"/>
              <w:rPr>
                <w:bCs/>
              </w:rPr>
            </w:pPr>
            <w:r w:rsidRPr="00212F3D">
              <w:rPr>
                <w:bCs/>
                <w:noProof/>
                <w:position w:val="-10"/>
              </w:rPr>
              <w:object w:dxaOrig="1300" w:dyaOrig="340">
                <v:shape id="_x0000_i1086" type="#_x0000_t75" alt="" style="width:63pt;height:17.25pt;mso-width-percent:0;mso-height-percent:0;mso-width-percent:0;mso-height-percent:0" o:ole="">
                  <v:imagedata r:id="rId25" o:title=""/>
                </v:shape>
                <o:OLEObject Type="Embed" ProgID="Equation.3" ShapeID="_x0000_i1086" DrawAspect="Content" ObjectID="_1851450216" r:id="rId26"/>
              </w:object>
            </w:r>
          </w:p>
          <w:p w:rsidR="00210A25" w:rsidRDefault="00210A25" w:rsidP="00E06F11">
            <w:pPr>
              <w:ind w:left="360"/>
            </w:pPr>
            <w:r w:rsidRPr="00212F3D">
              <w:rPr>
                <w:bCs/>
              </w:rPr>
              <w:t>2.</w:t>
            </w:r>
            <w:r w:rsidRPr="00212F3D">
              <w:t xml:space="preserve"> Jeżeli</w:t>
            </w:r>
            <w:r w:rsidRPr="00212F3D">
              <w:rPr>
                <w:noProof/>
                <w:position w:val="-4"/>
              </w:rPr>
              <w:object w:dxaOrig="720" w:dyaOrig="260">
                <v:shape id="_x0000_i1087" type="#_x0000_t75" alt="" style="width:36.75pt;height:12.75pt;mso-width-percent:0;mso-height-percent:0;mso-width-percent:0;mso-height-percent:0" o:ole="">
                  <v:imagedata r:id="rId14" o:title=""/>
                </v:shape>
                <o:OLEObject Type="Embed" ProgID="Equation.3" ShapeID="_x0000_i1087" DrawAspect="Content" ObjectID="_1851450217" r:id="rId27"/>
              </w:object>
            </w:r>
            <w:r>
              <w:t>, to</w:t>
            </w:r>
          </w:p>
          <w:p w:rsidR="00210A25" w:rsidRPr="00212F3D" w:rsidRDefault="00210A25" w:rsidP="00E06F11">
            <w:pPr>
              <w:ind w:left="497"/>
              <w:rPr>
                <w:bCs/>
              </w:rPr>
            </w:pPr>
            <w:r w:rsidRPr="00212F3D">
              <w:rPr>
                <w:bCs/>
                <w:noProof/>
                <w:position w:val="-10"/>
              </w:rPr>
              <w:object w:dxaOrig="1640" w:dyaOrig="340">
                <v:shape id="_x0000_i1088" type="#_x0000_t75" alt="" style="width:81pt;height:17.25pt;mso-width-percent:0;mso-height-percent:0;mso-width-percent:0;mso-height-percent:0" o:ole="">
                  <v:imagedata r:id="rId28" o:title=""/>
                </v:shape>
                <o:OLEObject Type="Embed" ProgID="Equation.3" ShapeID="_x0000_i1088" DrawAspect="Content" ObjectID="_1851450218" r:id="rId29"/>
              </w:object>
            </w:r>
          </w:p>
          <w:p w:rsidR="00210A25" w:rsidRDefault="00210A25" w:rsidP="00E06F11">
            <w:pPr>
              <w:ind w:left="360"/>
            </w:pPr>
            <w:r w:rsidRPr="00212F3D">
              <w:rPr>
                <w:bCs/>
              </w:rPr>
              <w:t>3. Jeżeli</w:t>
            </w:r>
            <w:r w:rsidRPr="00212F3D">
              <w:rPr>
                <w:noProof/>
                <w:position w:val="-10"/>
              </w:rPr>
              <w:object w:dxaOrig="960" w:dyaOrig="320">
                <v:shape id="_x0000_i1089" type="#_x0000_t75" alt="" style="width:48pt;height:15.75pt;mso-width-percent:0;mso-height-percent:0;mso-width-percent:0;mso-height-percent:0" o:ole="">
                  <v:imagedata r:id="rId20" o:title=""/>
                </v:shape>
                <o:OLEObject Type="Embed" ProgID="Equation.3" ShapeID="_x0000_i1089" DrawAspect="Content" ObjectID="_1851450219" r:id="rId30"/>
              </w:object>
            </w:r>
            <w:r>
              <w:t>, to</w:t>
            </w:r>
          </w:p>
          <w:p w:rsidR="00210A25" w:rsidRPr="00212F3D" w:rsidRDefault="00210A25" w:rsidP="00E06F11">
            <w:pPr>
              <w:ind w:left="497"/>
            </w:pPr>
            <w:r w:rsidRPr="00212F3D">
              <w:rPr>
                <w:noProof/>
                <w:position w:val="-10"/>
              </w:rPr>
              <w:object w:dxaOrig="2760" w:dyaOrig="340">
                <v:shape id="_x0000_i1090" type="#_x0000_t75" alt="" style="width:138pt;height:17.25pt;mso-width-percent:0;mso-height-percent:0;mso-width-percent:0;mso-height-percent:0" o:ole="">
                  <v:imagedata r:id="rId31" o:title=""/>
                </v:shape>
                <o:OLEObject Type="Embed" ProgID="Equation.3" ShapeID="_x0000_i1090" DrawAspect="Content" ObjectID="_1851450220" r:id="rId32"/>
              </w:object>
            </w:r>
          </w:p>
          <w:p w:rsidR="00210A25" w:rsidRDefault="00210A25" w:rsidP="00E06F11">
            <w:pPr>
              <w:ind w:left="360"/>
            </w:pPr>
            <w:r w:rsidRPr="00212F3D">
              <w:t xml:space="preserve">4. </w:t>
            </w:r>
            <w:r w:rsidRPr="00212F3D">
              <w:rPr>
                <w:bCs/>
              </w:rPr>
              <w:t>Jeżeli</w:t>
            </w:r>
            <w:r w:rsidRPr="00212F3D">
              <w:rPr>
                <w:noProof/>
                <w:position w:val="-10"/>
              </w:rPr>
              <w:object w:dxaOrig="960" w:dyaOrig="320">
                <v:shape id="_x0000_i1091" type="#_x0000_t75" alt="" style="width:48pt;height:15.75pt;mso-width-percent:0;mso-height-percent:0;mso-width-percent:0;mso-height-percent:0" o:ole="">
                  <v:imagedata r:id="rId20" o:title=""/>
                </v:shape>
                <o:OLEObject Type="Embed" ProgID="Equation.3" ShapeID="_x0000_i1091" DrawAspect="Content" ObjectID="_1851450221" r:id="rId33"/>
              </w:object>
            </w:r>
            <w:r w:rsidRPr="00212F3D">
              <w:t xml:space="preserve">, to </w:t>
            </w:r>
          </w:p>
          <w:p w:rsidR="00210A25" w:rsidRPr="000224F7" w:rsidRDefault="00210A25" w:rsidP="00E06F11">
            <w:pPr>
              <w:jc w:val="right"/>
            </w:pPr>
            <w:r w:rsidRPr="00212F3D">
              <w:rPr>
                <w:noProof/>
                <w:position w:val="-10"/>
              </w:rPr>
              <w:object w:dxaOrig="3540" w:dyaOrig="340">
                <v:shape id="_x0000_i1092" type="#_x0000_t75" alt="" style="width:177pt;height:17.25pt;mso-width-percent:0;mso-height-percent:0;mso-width-percent:0;mso-height-percent:0" o:ole="">
                  <v:imagedata r:id="rId34" o:title=""/>
                </v:shape>
                <o:OLEObject Type="Embed" ProgID="Equation.3" ShapeID="_x0000_i1092" DrawAspect="Content" ObjectID="_1851450222" r:id="rId35"/>
              </w:object>
            </w:r>
          </w:p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 xml:space="preserve">Uczeń: 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podaje rozkład prawdopodobieństwa dla rzutu kostką</w:t>
            </w:r>
          </w:p>
          <w:p w:rsidR="00210A25" w:rsidRPr="007E3B74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7E3B74">
              <w:t>oblicza prawdopodobieństwo zdarzenia przeciwnego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twierdzenie </w:t>
            </w:r>
            <w:r w:rsidRPr="007E3B74">
              <w:t>o prawdopodobieństwie sumy zdarzeń</w:t>
            </w:r>
          </w:p>
          <w:p w:rsidR="00210A25" w:rsidRPr="007E3B74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sprawdza, czy zdarzenia się wykluczają</w:t>
            </w:r>
          </w:p>
          <w:p w:rsidR="00210A25" w:rsidRDefault="00210A25" w:rsidP="00210A25">
            <w:pPr>
              <w:numPr>
                <w:ilvl w:val="0"/>
                <w:numId w:val="16"/>
              </w:numPr>
            </w:pPr>
            <w:r w:rsidRPr="007E3B74">
              <w:t>stosuje własności prawdopodobieństwa w dowodach twierdzeń</w:t>
            </w:r>
            <w:r>
              <w:t xml:space="preserve"> oraz w zadaniach wykorzystujących własności prawdopodobieństwa</w:t>
            </w:r>
          </w:p>
          <w:p w:rsidR="00210A25" w:rsidRDefault="00210A25" w:rsidP="00E06F11"/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P–R</w:t>
            </w:r>
          </w:p>
          <w:p w:rsidR="00210A25" w:rsidRDefault="00210A25" w:rsidP="00E06F11">
            <w:pPr>
              <w:jc w:val="center"/>
            </w:pPr>
            <w:r>
              <w:t xml:space="preserve">P–R 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D–W</w:t>
            </w:r>
          </w:p>
          <w:p w:rsidR="00210A25" w:rsidRDefault="00210A25" w:rsidP="00E06F11">
            <w:pPr>
              <w:jc w:val="center"/>
            </w:pP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5D2B52" w:rsidRDefault="00210A25" w:rsidP="00E06F11">
            <w:pPr>
              <w:autoSpaceDE w:val="0"/>
              <w:autoSpaceDN w:val="0"/>
              <w:adjustRightInd w:val="0"/>
            </w:pPr>
            <w:r w:rsidRPr="005D2B52">
              <w:t>10. Prawdopodobieństwo warunkowe</w:t>
            </w:r>
          </w:p>
          <w:p w:rsidR="00210A25" w:rsidRPr="005D2B52" w:rsidRDefault="00210A25" w:rsidP="00E06F11"/>
        </w:tc>
        <w:tc>
          <w:tcPr>
            <w:tcW w:w="3827" w:type="dxa"/>
          </w:tcPr>
          <w:p w:rsidR="00210A25" w:rsidRPr="005D2B52" w:rsidRDefault="00210A25" w:rsidP="00E06F11">
            <w:pPr>
              <w:numPr>
                <w:ilvl w:val="0"/>
                <w:numId w:val="7"/>
              </w:numPr>
            </w:pPr>
            <w:r w:rsidRPr="005D2B52">
              <w:t>definicja prawdopodobieństwa warunkowego</w:t>
            </w:r>
          </w:p>
          <w:p w:rsidR="00210A25" w:rsidRDefault="00210A25" w:rsidP="00E06F11">
            <w:pPr>
              <w:numPr>
                <w:ilvl w:val="0"/>
                <w:numId w:val="7"/>
              </w:numPr>
            </w:pPr>
            <w:r>
              <w:t>prezentacja wyników doświadczenia za pomocą drzewa w przypadku prawdopodobieństwa warunkowego</w:t>
            </w:r>
          </w:p>
          <w:p w:rsidR="00210A25" w:rsidRPr="005D2B52" w:rsidRDefault="00210A25" w:rsidP="00E06F11">
            <w:pPr>
              <w:numPr>
                <w:ilvl w:val="0"/>
                <w:numId w:val="7"/>
              </w:numPr>
            </w:pPr>
            <w:r>
              <w:t>zdarzenia niezależne i zależne</w:t>
            </w:r>
          </w:p>
        </w:tc>
        <w:tc>
          <w:tcPr>
            <w:tcW w:w="6270" w:type="dxa"/>
          </w:tcPr>
          <w:p w:rsidR="00210A25" w:rsidRDefault="00210A25" w:rsidP="00E06F11">
            <w:pPr>
              <w:jc w:val="both"/>
            </w:pPr>
            <w:r>
              <w:t>Uczeń:</w:t>
            </w:r>
          </w:p>
          <w:p w:rsidR="00210A25" w:rsidRDefault="00210A25" w:rsidP="00210A25">
            <w:pPr>
              <w:numPr>
                <w:ilvl w:val="0"/>
                <w:numId w:val="17"/>
              </w:numPr>
            </w:pPr>
            <w:r>
              <w:t xml:space="preserve">oblicza prawdopodobieństwo warunkowe </w:t>
            </w:r>
          </w:p>
          <w:p w:rsidR="00210A25" w:rsidRDefault="00210A25" w:rsidP="00210A25">
            <w:pPr>
              <w:numPr>
                <w:ilvl w:val="0"/>
                <w:numId w:val="17"/>
              </w:numPr>
            </w:pPr>
            <w:r>
              <w:t>stosuje wzór na prawdopodobieństwo warunkowe do wyznaczenia prawdopodobieństwa np. sumy, iloczynu, różnicy zdarzeń</w:t>
            </w:r>
          </w:p>
          <w:p w:rsidR="00210A25" w:rsidRDefault="00210A25" w:rsidP="00210A25">
            <w:pPr>
              <w:numPr>
                <w:ilvl w:val="0"/>
                <w:numId w:val="17"/>
              </w:numPr>
            </w:pPr>
            <w:r>
              <w:t>dowodzi własności prawdopodobieństwa warunkowego</w:t>
            </w:r>
          </w:p>
          <w:p w:rsidR="00210A25" w:rsidRPr="00212F3D" w:rsidRDefault="00210A25" w:rsidP="00E06F11"/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R–D</w:t>
            </w:r>
          </w:p>
          <w:p w:rsidR="00210A25" w:rsidRDefault="00210A25" w:rsidP="00E06F11">
            <w:pPr>
              <w:jc w:val="center"/>
            </w:pPr>
            <w:r>
              <w:t>W</w:t>
            </w:r>
          </w:p>
          <w:p w:rsidR="00210A25" w:rsidRDefault="00210A25" w:rsidP="00E06F11">
            <w:pPr>
              <w:jc w:val="center"/>
            </w:pP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5D2B52" w:rsidRDefault="00210A25" w:rsidP="00E06F11">
            <w:pPr>
              <w:autoSpaceDE w:val="0"/>
              <w:autoSpaceDN w:val="0"/>
              <w:adjustRightInd w:val="0"/>
            </w:pPr>
            <w:r w:rsidRPr="005D2B52">
              <w:lastRenderedPageBreak/>
              <w:t xml:space="preserve">11. Prawdopodobieństwo całkowite </w:t>
            </w:r>
          </w:p>
        </w:tc>
        <w:tc>
          <w:tcPr>
            <w:tcW w:w="3827" w:type="dxa"/>
          </w:tcPr>
          <w:p w:rsidR="00210A25" w:rsidRPr="000004CF" w:rsidRDefault="00210A25" w:rsidP="00210A25">
            <w:pPr>
              <w:numPr>
                <w:ilvl w:val="0"/>
                <w:numId w:val="18"/>
              </w:numPr>
            </w:pPr>
            <w:r>
              <w:t>wzór na prawdopodobieństwo całkowite</w:t>
            </w:r>
          </w:p>
        </w:tc>
        <w:tc>
          <w:tcPr>
            <w:tcW w:w="6270" w:type="dxa"/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sprawdza, czy są spełnione założenia twierdzenia o prawdopodobieństwie całkowitym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prawdopodobieństwo całkowite</w:t>
            </w:r>
          </w:p>
        </w:tc>
        <w:tc>
          <w:tcPr>
            <w:tcW w:w="1101" w:type="dxa"/>
          </w:tcPr>
          <w:p w:rsidR="00210A25" w:rsidRDefault="00210A25" w:rsidP="00E06F11"/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 xml:space="preserve">K–P </w:t>
            </w:r>
          </w:p>
          <w:p w:rsidR="00210A25" w:rsidRDefault="00210A25" w:rsidP="00E06F11">
            <w:pPr>
              <w:jc w:val="center"/>
            </w:pPr>
            <w:r>
              <w:t>K–D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3D085B" w:rsidRDefault="00210A25" w:rsidP="00E06F11">
            <w:pPr>
              <w:autoSpaceDE w:val="0"/>
              <w:autoSpaceDN w:val="0"/>
              <w:adjustRightInd w:val="0"/>
            </w:pPr>
            <w:r w:rsidRPr="003D085B">
              <w:t>12. Wzór Bayesa</w:t>
            </w:r>
          </w:p>
        </w:tc>
        <w:tc>
          <w:tcPr>
            <w:tcW w:w="3827" w:type="dxa"/>
          </w:tcPr>
          <w:p w:rsidR="00210A25" w:rsidRPr="003D085B" w:rsidRDefault="00210A25" w:rsidP="00210A25">
            <w:pPr>
              <w:numPr>
                <w:ilvl w:val="0"/>
                <w:numId w:val="18"/>
              </w:numPr>
            </w:pPr>
            <w:r>
              <w:t>wzór Bayesa</w:t>
            </w:r>
          </w:p>
        </w:tc>
        <w:tc>
          <w:tcPr>
            <w:tcW w:w="6270" w:type="dxa"/>
          </w:tcPr>
          <w:p w:rsidR="00210A25" w:rsidRPr="003D085B" w:rsidRDefault="00210A25" w:rsidP="00E06F11">
            <w:r w:rsidRPr="003D085B"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87561B">
              <w:t>stosuje wzór Bayesa do obliczania prawdopodobieństw</w:t>
            </w:r>
            <w:r>
              <w:t>a</w:t>
            </w:r>
            <w:r w:rsidRPr="0087561B">
              <w:t xml:space="preserve"> </w:t>
            </w:r>
            <w:r>
              <w:t xml:space="preserve">przyczyny </w:t>
            </w:r>
          </w:p>
          <w:p w:rsidR="00210A25" w:rsidRPr="003D085B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udowadnia wzór Bayesa</w:t>
            </w:r>
          </w:p>
        </w:tc>
        <w:tc>
          <w:tcPr>
            <w:tcW w:w="1101" w:type="dxa"/>
          </w:tcPr>
          <w:p w:rsidR="00210A25" w:rsidRDefault="00210A25" w:rsidP="00E06F11"/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  <w:r>
              <w:t>W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Pr="00112AC2" w:rsidRDefault="00210A25" w:rsidP="00E06F11">
            <w:pPr>
              <w:autoSpaceDE w:val="0"/>
              <w:autoSpaceDN w:val="0"/>
              <w:adjustRightInd w:val="0"/>
            </w:pPr>
            <w:r>
              <w:t>13</w:t>
            </w:r>
            <w:r w:rsidRPr="00112AC2">
              <w:t xml:space="preserve">. Doświadczenia wieloetapowe </w:t>
            </w:r>
          </w:p>
          <w:p w:rsidR="00210A25" w:rsidRPr="00112AC2" w:rsidRDefault="00210A25" w:rsidP="00E06F11"/>
        </w:tc>
        <w:tc>
          <w:tcPr>
            <w:tcW w:w="3827" w:type="dxa"/>
          </w:tcPr>
          <w:p w:rsidR="00210A25" w:rsidRDefault="00210A25" w:rsidP="00210A25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ilustracja doświadczenia</w:t>
            </w:r>
          </w:p>
          <w:p w:rsidR="00210A25" w:rsidRDefault="00210A25" w:rsidP="00E06F11">
            <w:pPr>
              <w:ind w:left="360"/>
              <w:rPr>
                <w:bCs/>
              </w:rPr>
            </w:pPr>
            <w:r>
              <w:rPr>
                <w:bCs/>
              </w:rPr>
              <w:t>za pomocą drzewa</w:t>
            </w:r>
          </w:p>
        </w:tc>
        <w:tc>
          <w:tcPr>
            <w:tcW w:w="6270" w:type="dxa"/>
          </w:tcPr>
          <w:p w:rsidR="00210A25" w:rsidRDefault="00210A25" w:rsidP="00E06F11">
            <w:r>
              <w:t>Uczeń:</w:t>
            </w:r>
          </w:p>
          <w:p w:rsidR="00210A25" w:rsidRPr="00293193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rPr>
                <w:bCs/>
              </w:rPr>
              <w:t>ilustruje doświadczenie wieloetapowe</w:t>
            </w:r>
            <w:r>
              <w:rPr>
                <w:bCs/>
              </w:rPr>
              <w:br/>
              <w:t>za pomocą drzewa</w:t>
            </w:r>
          </w:p>
          <w:p w:rsidR="00210A25" w:rsidRPr="0087561B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rPr>
                <w:bCs/>
              </w:rPr>
              <w:t>oblicza prawdopodobieństwa zdarzeń w doświadczeniu wieloetapowym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 xml:space="preserve">P–D 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Default="00210A25" w:rsidP="00E06F11">
            <w:pPr>
              <w:autoSpaceDE w:val="0"/>
              <w:autoSpaceDN w:val="0"/>
              <w:adjustRightInd w:val="0"/>
            </w:pPr>
            <w:r>
              <w:t xml:space="preserve">14. Schemat </w:t>
            </w:r>
            <w:proofErr w:type="spellStart"/>
            <w:r>
              <w:t>Bernoulliego</w:t>
            </w:r>
            <w:proofErr w:type="spellEnd"/>
          </w:p>
        </w:tc>
        <w:tc>
          <w:tcPr>
            <w:tcW w:w="3827" w:type="dxa"/>
          </w:tcPr>
          <w:p w:rsidR="00210A25" w:rsidRDefault="00210A25" w:rsidP="00210A25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 xml:space="preserve">próba </w:t>
            </w:r>
            <w:proofErr w:type="spellStart"/>
            <w:r>
              <w:rPr>
                <w:bCs/>
              </w:rPr>
              <w:t>Bernoulliego</w:t>
            </w:r>
            <w:proofErr w:type="spellEnd"/>
          </w:p>
          <w:p w:rsidR="00210A25" w:rsidRDefault="00210A25" w:rsidP="00210A25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pojęcie sukcesu, porażki</w:t>
            </w:r>
          </w:p>
          <w:p w:rsidR="00210A25" w:rsidRDefault="00210A25" w:rsidP="00210A25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 xml:space="preserve">wzór </w:t>
            </w:r>
            <w:proofErr w:type="spellStart"/>
            <w:r>
              <w:rPr>
                <w:bCs/>
              </w:rPr>
              <w:t>Bernoulliego</w:t>
            </w:r>
            <w:proofErr w:type="spellEnd"/>
          </w:p>
        </w:tc>
        <w:tc>
          <w:tcPr>
            <w:tcW w:w="6270" w:type="dxa"/>
          </w:tcPr>
          <w:p w:rsidR="00210A25" w:rsidRPr="007218C9" w:rsidRDefault="00210A25" w:rsidP="00E06F11">
            <w:pPr>
              <w:rPr>
                <w:color w:val="000000" w:themeColor="text1"/>
              </w:rPr>
            </w:pPr>
            <w:r w:rsidRPr="007218C9">
              <w:rPr>
                <w:color w:val="000000" w:themeColor="text1"/>
              </w:rPr>
              <w:t>Uczeń:</w:t>
            </w:r>
          </w:p>
          <w:p w:rsidR="00210A25" w:rsidRPr="007218C9" w:rsidRDefault="00210A25" w:rsidP="00E06F11">
            <w:pPr>
              <w:numPr>
                <w:ilvl w:val="0"/>
                <w:numId w:val="6"/>
              </w:numPr>
              <w:ind w:left="357" w:hanging="357"/>
              <w:rPr>
                <w:color w:val="000000" w:themeColor="text1"/>
              </w:rPr>
            </w:pPr>
            <w:r w:rsidRPr="007218C9">
              <w:rPr>
                <w:color w:val="000000" w:themeColor="text1"/>
              </w:rPr>
              <w:t>oblicza prawdopodobieństwo sukcesu</w:t>
            </w:r>
            <w:r>
              <w:rPr>
                <w:color w:val="000000" w:themeColor="text1"/>
              </w:rPr>
              <w:t xml:space="preserve"> i</w:t>
            </w:r>
            <w:r w:rsidRPr="007218C9">
              <w:rPr>
                <w:color w:val="000000" w:themeColor="text1"/>
              </w:rPr>
              <w:t xml:space="preserve"> porażki w</w:t>
            </w:r>
            <w:r>
              <w:rPr>
                <w:color w:val="000000" w:themeColor="text1"/>
              </w:rPr>
              <w:t> </w:t>
            </w:r>
            <w:r w:rsidRPr="007218C9">
              <w:rPr>
                <w:color w:val="000000" w:themeColor="text1"/>
              </w:rPr>
              <w:t xml:space="preserve">pojedynczej próbie </w:t>
            </w:r>
            <w:proofErr w:type="spellStart"/>
            <w:r>
              <w:rPr>
                <w:color w:val="000000" w:themeColor="text1"/>
              </w:rPr>
              <w:t>Bernoulliego</w:t>
            </w:r>
            <w:proofErr w:type="spellEnd"/>
          </w:p>
          <w:p w:rsidR="00210A25" w:rsidRPr="007218C9" w:rsidRDefault="00210A25" w:rsidP="00E06F11">
            <w:pPr>
              <w:numPr>
                <w:ilvl w:val="0"/>
                <w:numId w:val="6"/>
              </w:numPr>
              <w:ind w:left="357" w:hanging="357"/>
              <w:rPr>
                <w:color w:val="000000" w:themeColor="text1"/>
              </w:rPr>
            </w:pPr>
            <w:r w:rsidRPr="007218C9">
              <w:rPr>
                <w:color w:val="000000" w:themeColor="text1"/>
              </w:rPr>
              <w:t xml:space="preserve">stosuje </w:t>
            </w:r>
            <w:r w:rsidRPr="007218C9">
              <w:rPr>
                <w:bCs/>
                <w:color w:val="000000" w:themeColor="text1"/>
              </w:rPr>
              <w:t xml:space="preserve">wzór </w:t>
            </w:r>
            <w:proofErr w:type="spellStart"/>
            <w:r w:rsidRPr="007218C9">
              <w:rPr>
                <w:bCs/>
                <w:color w:val="000000" w:themeColor="text1"/>
              </w:rPr>
              <w:t>Bernoulliego</w:t>
            </w:r>
            <w:proofErr w:type="spellEnd"/>
            <w:r w:rsidRPr="007218C9">
              <w:rPr>
                <w:bCs/>
                <w:color w:val="000000" w:themeColor="text1"/>
              </w:rPr>
              <w:t xml:space="preserve"> do oblicz</w:t>
            </w:r>
            <w:r>
              <w:rPr>
                <w:bCs/>
                <w:color w:val="000000" w:themeColor="text1"/>
              </w:rPr>
              <w:t>a</w:t>
            </w:r>
            <w:r w:rsidRPr="007218C9">
              <w:rPr>
                <w:bCs/>
                <w:color w:val="000000" w:themeColor="text1"/>
              </w:rPr>
              <w:t xml:space="preserve">nia prawdopodobieństwa </w:t>
            </w:r>
            <w:r w:rsidRPr="007218C9">
              <w:rPr>
                <w:bCs/>
                <w:i/>
                <w:iCs/>
                <w:color w:val="000000" w:themeColor="text1"/>
              </w:rPr>
              <w:t>k</w:t>
            </w:r>
            <w:r w:rsidRPr="007218C9">
              <w:rPr>
                <w:bCs/>
                <w:color w:val="000000" w:themeColor="text1"/>
              </w:rPr>
              <w:t xml:space="preserve"> sukcesów w </w:t>
            </w:r>
            <w:r w:rsidRPr="007218C9">
              <w:rPr>
                <w:bCs/>
                <w:i/>
                <w:iCs/>
                <w:color w:val="000000" w:themeColor="text1"/>
              </w:rPr>
              <w:t>n</w:t>
            </w:r>
            <w:r w:rsidRPr="007218C9">
              <w:rPr>
                <w:bCs/>
                <w:color w:val="000000" w:themeColor="text1"/>
              </w:rPr>
              <w:t xml:space="preserve"> próbach</w:t>
            </w:r>
          </w:p>
          <w:p w:rsidR="00210A25" w:rsidRPr="007218C9" w:rsidRDefault="00210A25" w:rsidP="00E06F11">
            <w:pPr>
              <w:numPr>
                <w:ilvl w:val="0"/>
                <w:numId w:val="6"/>
              </w:numPr>
              <w:ind w:left="357" w:hanging="357"/>
              <w:rPr>
                <w:color w:val="000000" w:themeColor="text1"/>
              </w:rPr>
            </w:pPr>
            <w:r>
              <w:rPr>
                <w:color w:val="000000" w:themeColor="text1"/>
              </w:rPr>
              <w:t>wykorzystuje</w:t>
            </w:r>
            <w:r w:rsidRPr="007218C9">
              <w:rPr>
                <w:color w:val="000000" w:themeColor="text1"/>
              </w:rPr>
              <w:t xml:space="preserve"> </w:t>
            </w:r>
            <w:r w:rsidRPr="007218C9">
              <w:rPr>
                <w:bCs/>
                <w:color w:val="000000" w:themeColor="text1"/>
              </w:rPr>
              <w:t xml:space="preserve">wzór </w:t>
            </w:r>
            <w:proofErr w:type="spellStart"/>
            <w:r w:rsidRPr="007218C9">
              <w:rPr>
                <w:bCs/>
                <w:color w:val="000000" w:themeColor="text1"/>
              </w:rPr>
              <w:t>Bernoulliego</w:t>
            </w:r>
            <w:proofErr w:type="spellEnd"/>
            <w:r w:rsidRPr="007218C9">
              <w:rPr>
                <w:bCs/>
                <w:color w:val="000000" w:themeColor="text1"/>
              </w:rPr>
              <w:t xml:space="preserve"> do oblicz</w:t>
            </w:r>
            <w:r>
              <w:rPr>
                <w:bCs/>
                <w:color w:val="000000" w:themeColor="text1"/>
              </w:rPr>
              <w:t>a</w:t>
            </w:r>
            <w:r w:rsidRPr="007218C9">
              <w:rPr>
                <w:bCs/>
                <w:color w:val="000000" w:themeColor="text1"/>
              </w:rPr>
              <w:t xml:space="preserve">nia prawdopodobieństwa co najmniej </w:t>
            </w:r>
            <w:r w:rsidRPr="007218C9">
              <w:rPr>
                <w:bCs/>
                <w:i/>
                <w:iCs/>
                <w:color w:val="000000" w:themeColor="text1"/>
              </w:rPr>
              <w:t>k</w:t>
            </w:r>
            <w:r w:rsidRPr="007218C9">
              <w:rPr>
                <w:bCs/>
                <w:color w:val="000000" w:themeColor="text1"/>
              </w:rPr>
              <w:t xml:space="preserve"> sukcesów</w:t>
            </w:r>
            <w:r>
              <w:rPr>
                <w:bCs/>
                <w:color w:val="000000" w:themeColor="text1"/>
              </w:rPr>
              <w:br/>
            </w:r>
            <w:r w:rsidRPr="007218C9">
              <w:rPr>
                <w:bCs/>
                <w:color w:val="000000" w:themeColor="text1"/>
              </w:rPr>
              <w:t xml:space="preserve">w </w:t>
            </w:r>
            <w:r w:rsidRPr="007218C9">
              <w:rPr>
                <w:bCs/>
                <w:i/>
                <w:iCs/>
                <w:color w:val="000000" w:themeColor="text1"/>
              </w:rPr>
              <w:t>n</w:t>
            </w:r>
            <w:r w:rsidRPr="007218C9">
              <w:rPr>
                <w:bCs/>
                <w:color w:val="000000" w:themeColor="text1"/>
              </w:rPr>
              <w:t xml:space="preserve"> próbach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</w:tc>
      </w:tr>
      <w:tr w:rsidR="00210A25" w:rsidTr="00210A25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210A25" w:rsidRDefault="00210A25" w:rsidP="00E06F11">
            <w:r>
              <w:rPr>
                <w:b/>
              </w:rPr>
              <w:t>2. GRANIASTOSŁUPY I OSTROSŁUPY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Default="00210A25" w:rsidP="00E06F11">
            <w:r>
              <w:lastRenderedPageBreak/>
              <w:t xml:space="preserve">1. Proste i płaszczyzny </w:t>
            </w:r>
            <w:r>
              <w:br/>
              <w:t>w przestrzeni</w:t>
            </w:r>
          </w:p>
        </w:tc>
        <w:tc>
          <w:tcPr>
            <w:tcW w:w="3827" w:type="dxa"/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wzajemne położenie dwóch płaszczyzn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wzajemne położenie dwóch prostych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proste skośne</w:t>
            </w:r>
          </w:p>
          <w:p w:rsidR="00210A25" w:rsidRPr="002E280A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2E280A">
              <w:rPr>
                <w:bCs/>
              </w:rPr>
              <w:t>prostopadłość prostych w</w:t>
            </w:r>
            <w:r>
              <w:rPr>
                <w:bCs/>
              </w:rPr>
              <w:t> </w:t>
            </w:r>
            <w:r w:rsidRPr="002E280A">
              <w:rPr>
                <w:bCs/>
              </w:rPr>
              <w:t>przestrzeni</w:t>
            </w:r>
          </w:p>
          <w:p w:rsidR="00210A25" w:rsidRPr="002E280A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2E280A">
              <w:rPr>
                <w:bCs/>
              </w:rPr>
              <w:t>wzajemne położenie prostej i</w:t>
            </w:r>
            <w:r>
              <w:rPr>
                <w:bCs/>
              </w:rPr>
              <w:t> </w:t>
            </w:r>
            <w:r w:rsidRPr="002E280A">
              <w:rPr>
                <w:bCs/>
              </w:rPr>
              <w:t>płaszczyzny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6A1032">
              <w:rPr>
                <w:bCs/>
              </w:rPr>
              <w:t>rzut prostokątny</w:t>
            </w:r>
            <w:r>
              <w:rPr>
                <w:bCs/>
              </w:rPr>
              <w:t xml:space="preserve"> na płaszczyznę</w:t>
            </w:r>
          </w:p>
          <w:p w:rsidR="00210A25" w:rsidRPr="006A1032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twierdzenie o prostej prostopadłej do płaszczyzny</w:t>
            </w:r>
          </w:p>
        </w:tc>
        <w:tc>
          <w:tcPr>
            <w:tcW w:w="6270" w:type="dxa"/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wskazuje w wielościanie proste prostopadłe, równoległe i skośne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wskazuje w wielościanie rzut prostokątny danego odcinka na daną płaszczyznę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przeprowadza wnioskowania dotyczące położenia prostych w przestrzeni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przeprowadza dowód twierdzenia o prostej prostopadłej do płaszczyzny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R–D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D</w:t>
            </w:r>
          </w:p>
        </w:tc>
      </w:tr>
      <w:tr w:rsidR="00210A25" w:rsidTr="00210A25">
        <w:trPr>
          <w:cantSplit/>
        </w:trPr>
        <w:tc>
          <w:tcPr>
            <w:tcW w:w="2764" w:type="dxa"/>
          </w:tcPr>
          <w:p w:rsidR="00210A25" w:rsidRDefault="00210A25" w:rsidP="00E06F11">
            <w:r>
              <w:t>2. Graniastosłupy</w:t>
            </w:r>
          </w:p>
        </w:tc>
        <w:tc>
          <w:tcPr>
            <w:tcW w:w="3827" w:type="dxa"/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graniastosłup prosty </w:t>
            </w:r>
          </w:p>
          <w:p w:rsidR="00210A25" w:rsidRDefault="00210A25" w:rsidP="00E06F11">
            <w:pPr>
              <w:ind w:left="360"/>
              <w:rPr>
                <w:bCs/>
              </w:rPr>
            </w:pPr>
            <w:r>
              <w:rPr>
                <w:bCs/>
              </w:rPr>
              <w:t>i graniastosłup pochyły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powierzchnia boczna graniastosłupa </w:t>
            </w:r>
          </w:p>
          <w:p w:rsidR="00210A25" w:rsidRPr="001B7A63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212F3D">
              <w:rPr>
                <w:bCs/>
              </w:rPr>
              <w:t>wysokość graniastosłupa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prostopadłościan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graniastosłup prawidłowy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pole powierzchni bocznej i pole powierzchni całkowitej graniastosłupa</w:t>
            </w:r>
          </w:p>
          <w:p w:rsidR="00210A25" w:rsidRPr="004E694B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siatki sześcianu</w:t>
            </w:r>
          </w:p>
        </w:tc>
        <w:tc>
          <w:tcPr>
            <w:tcW w:w="6270" w:type="dxa"/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określa liczbę ścian, wierzchołków i krawędzi graniastosłupa </w:t>
            </w:r>
          </w:p>
          <w:p w:rsidR="00210A25" w:rsidRPr="00212F3D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212F3D">
              <w:t>sprawdza</w:t>
            </w:r>
            <w:r>
              <w:t>,</w:t>
            </w:r>
            <w:r w:rsidRPr="00212F3D">
              <w:t xml:space="preserve"> czy istnieje graniastosłup o da</w:t>
            </w:r>
            <w:r>
              <w:t>nej liczbie krawędzi</w:t>
            </w:r>
          </w:p>
          <w:p w:rsidR="00210A25" w:rsidRPr="00603213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603213">
              <w:t>wskazuje element</w:t>
            </w:r>
            <w:r>
              <w:t>y charakteryzujące graniastosłup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bocznej i pole powierzchni całkowitej graniastosłupa prostego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rysuje siatkę graniastosłupa prostego, mając dany</w:t>
            </w:r>
          </w:p>
          <w:p w:rsidR="00210A25" w:rsidRPr="004E694B" w:rsidRDefault="00210A25" w:rsidP="00E06F11">
            <w:pPr>
              <w:ind w:left="357"/>
            </w:pPr>
            <w:r>
              <w:t xml:space="preserve"> jej fragment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</w:tc>
      </w:tr>
      <w:tr w:rsidR="00210A25" w:rsidTr="00210A25">
        <w:trPr>
          <w:cantSplit/>
          <w:trHeight w:val="1762"/>
        </w:trPr>
        <w:tc>
          <w:tcPr>
            <w:tcW w:w="2764" w:type="dxa"/>
          </w:tcPr>
          <w:p w:rsidR="00210A25" w:rsidRDefault="00210A25" w:rsidP="00E06F11">
            <w:r>
              <w:lastRenderedPageBreak/>
              <w:t>3. Odcinki w graniastosłupach</w:t>
            </w:r>
          </w:p>
        </w:tc>
        <w:tc>
          <w:tcPr>
            <w:tcW w:w="3827" w:type="dxa"/>
          </w:tcPr>
          <w:p w:rsidR="00210A25" w:rsidRPr="00AF46EE" w:rsidRDefault="00210A25" w:rsidP="00210A25">
            <w:pPr>
              <w:numPr>
                <w:ilvl w:val="0"/>
                <w:numId w:val="19"/>
              </w:numPr>
            </w:pPr>
            <w:r>
              <w:rPr>
                <w:bCs/>
              </w:rPr>
              <w:t xml:space="preserve">przekątna graniastosłupa </w:t>
            </w:r>
          </w:p>
          <w:p w:rsidR="00210A25" w:rsidRPr="00DC4600" w:rsidRDefault="00210A25" w:rsidP="00210A25">
            <w:pPr>
              <w:numPr>
                <w:ilvl w:val="0"/>
                <w:numId w:val="19"/>
              </w:numPr>
            </w:pPr>
            <w:r>
              <w:rPr>
                <w:bCs/>
              </w:rPr>
              <w:t>długość przekątnej prostopadłościanu</w:t>
            </w:r>
          </w:p>
          <w:p w:rsidR="00210A25" w:rsidRPr="00DC4600" w:rsidRDefault="00210A25" w:rsidP="00E06F11">
            <w:pPr>
              <w:rPr>
                <w:color w:val="FF0000"/>
              </w:rPr>
            </w:pPr>
          </w:p>
        </w:tc>
        <w:tc>
          <w:tcPr>
            <w:tcW w:w="6270" w:type="dxa"/>
          </w:tcPr>
          <w:p w:rsidR="00210A25" w:rsidRDefault="00210A25" w:rsidP="00E06F11">
            <w:r>
              <w:t>Uczeń:</w:t>
            </w:r>
          </w:p>
          <w:p w:rsidR="00210A25" w:rsidRPr="000035F8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0035F8">
              <w:t>oblicza długości przekątnych graniastosłupa prostego</w:t>
            </w:r>
            <w:r>
              <w:t xml:space="preserve"> (również z wykorzystaniem trygonometrii)</w:t>
            </w:r>
          </w:p>
          <w:p w:rsidR="00210A25" w:rsidRDefault="00210A25" w:rsidP="00210A25">
            <w:pPr>
              <w:numPr>
                <w:ilvl w:val="0"/>
                <w:numId w:val="19"/>
              </w:numPr>
            </w:pPr>
            <w:r>
              <w:t>stosuje funkcje trygonometryczne do obliczania pola powierzchni graniastosłupa</w:t>
            </w:r>
          </w:p>
          <w:p w:rsidR="00210A25" w:rsidRPr="00212F3D" w:rsidRDefault="00210A25" w:rsidP="00210A25">
            <w:pPr>
              <w:numPr>
                <w:ilvl w:val="0"/>
                <w:numId w:val="19"/>
              </w:numPr>
            </w:pPr>
            <w:r w:rsidRPr="00212F3D">
              <w:t>uzasadnia prawdziwość</w:t>
            </w:r>
            <w:r>
              <w:t xml:space="preserve"> wzorów dotyczących przekątnych i pola</w:t>
            </w:r>
            <w:r w:rsidRPr="00212F3D">
              <w:t xml:space="preserve"> powierzchni </w:t>
            </w:r>
            <w:r>
              <w:t xml:space="preserve">danego </w:t>
            </w:r>
            <w:r w:rsidRPr="00212F3D">
              <w:t>graniastosłup</w:t>
            </w:r>
            <w:r>
              <w:t>a</w:t>
            </w:r>
          </w:p>
        </w:tc>
        <w:tc>
          <w:tcPr>
            <w:tcW w:w="1101" w:type="dxa"/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P–D</w:t>
            </w:r>
            <w:r w:rsidRPr="00C6264E">
              <w:t xml:space="preserve"> </w:t>
            </w:r>
          </w:p>
          <w:p w:rsidR="00210A25" w:rsidRDefault="00210A25" w:rsidP="00E06F11">
            <w:pPr>
              <w:jc w:val="center"/>
            </w:pPr>
          </w:p>
          <w:p w:rsidR="00210A25" w:rsidRPr="00C6264E" w:rsidRDefault="00210A25" w:rsidP="00E06F11">
            <w:pPr>
              <w:jc w:val="center"/>
            </w:pPr>
            <w:r>
              <w:t>D–W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4. Objętość graniastosłupa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wzór na objętość graniastosłupa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oblicza objętość graniastosłupa prostego 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objętość graniastosłupa pochyłego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stosuje funkcje trygonometryczne do obliczania objętości graniastosłupa</w:t>
            </w:r>
          </w:p>
          <w:p w:rsidR="00210A25" w:rsidRPr="004F183B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</w:t>
            </w:r>
            <w:r w:rsidRPr="004F183B">
              <w:t xml:space="preserve">o podwyższonym stopniu trudności </w:t>
            </w:r>
            <w:r>
              <w:t xml:space="preserve">z wykorzystaniem wzoru na objętość </w:t>
            </w:r>
            <w:r w:rsidRPr="004F183B">
              <w:t>graniastosłup</w:t>
            </w:r>
            <w:r>
              <w:t>a</w:t>
            </w:r>
            <w:r w:rsidRPr="004F183B">
              <w:t xml:space="preserve"> </w:t>
            </w:r>
            <w:r>
              <w:t>prostego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/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D–W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Pr="004F183B" w:rsidRDefault="00210A25" w:rsidP="00E06F11">
            <w:pPr>
              <w:jc w:val="center"/>
            </w:pPr>
            <w:r>
              <w:t>D–</w:t>
            </w:r>
            <w:r w:rsidRPr="004F183B">
              <w:t>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5. Ostrosłupy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ostrosłup 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ostrosłup prawidłowy 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BF2B96">
              <w:rPr>
                <w:bCs/>
              </w:rPr>
              <w:t>wysokość ostrosłupa, spodek wysokości</w:t>
            </w:r>
          </w:p>
          <w:p w:rsidR="00210A25" w:rsidRPr="00BF2B96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BF2B96">
              <w:rPr>
                <w:bCs/>
              </w:rPr>
              <w:t xml:space="preserve">kąt płaski przy wierzchołku ostrosłupa prawidłowego </w:t>
            </w:r>
          </w:p>
          <w:p w:rsidR="00210A25" w:rsidRPr="00BF2B96" w:rsidRDefault="00210A25" w:rsidP="00E06F11">
            <w:pPr>
              <w:pStyle w:val="Akapitzlist"/>
              <w:numPr>
                <w:ilvl w:val="0"/>
                <w:numId w:val="5"/>
              </w:numPr>
              <w:ind w:left="355" w:hanging="355"/>
              <w:rPr>
                <w:bCs/>
              </w:rPr>
            </w:pPr>
            <w:r w:rsidRPr="00BF2B96">
              <w:rPr>
                <w:bCs/>
              </w:rPr>
              <w:t>czworościan foremny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rFonts w:ascii="Cambria" w:hAnsi="Cambria"/>
                <w:b/>
                <w:bCs/>
                <w:color w:val="4F81BD"/>
                <w:sz w:val="26"/>
                <w:szCs w:val="26"/>
              </w:rPr>
            </w:pPr>
            <w:r>
              <w:rPr>
                <w:bCs/>
              </w:rPr>
              <w:t>pole powierzchni ostrosłupa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Pr="007E295E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603213">
              <w:t>wskazuje element</w:t>
            </w:r>
            <w:r>
              <w:t xml:space="preserve">y charakteryzujące ostrosłup 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ostrosłupa, mając daną jego siatkę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rysuje siatkę ostrosłupa prostego, mając dany jej fragment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bocznej i pole powierzchni całkowitej ostrosłupa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  <w:rPr>
                <w:rFonts w:ascii="Cambria" w:hAnsi="Cambria"/>
                <w:b/>
                <w:bCs/>
                <w:color w:val="4F81BD"/>
                <w:sz w:val="26"/>
                <w:szCs w:val="26"/>
              </w:rPr>
            </w:pPr>
            <w:r>
              <w:t>stosuje funkcje trygonometryczne do obliczania pola powierzchni ostrosłupa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/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K–P</w:t>
            </w:r>
            <w:r>
              <w:br/>
            </w: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lastRenderedPageBreak/>
              <w:t>6. Objętość ostrosłupa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wzór na objętość ostrosłupa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wzór na wysokość i objętość czworościanu foremnego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oblicza objętość ostrosłupa prawidłowego 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stosuje funkcje trygonometryczne do obliczania objętości ostrosłupa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o podwyższonym stopniu trudności dotyczące ostrosłupów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D–W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7. Twierdzenie o trzech prostych prostopadłych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twierdzenie o trzech prostych prostopadłych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Pr="00F67BD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</w:t>
            </w:r>
            <w:r w:rsidRPr="00721AFE">
              <w:t>twierdzenie</w:t>
            </w:r>
            <w:r>
              <w:rPr>
                <w:bCs/>
              </w:rPr>
              <w:t xml:space="preserve"> o trzech prostych prostopadłych do uzasadnienia prostopadłości prostych </w:t>
            </w:r>
          </w:p>
          <w:p w:rsidR="00210A25" w:rsidRPr="00754EA2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</w:t>
            </w:r>
            <w:r w:rsidRPr="00721AFE">
              <w:t>twierdzenie</w:t>
            </w:r>
            <w:r>
              <w:rPr>
                <w:bCs/>
              </w:rPr>
              <w:t xml:space="preserve"> o trzech prostych prostopadłych do rozwiązywania zadań ze stereometrii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rPr>
                <w:bCs/>
              </w:rPr>
              <w:t>przeprowadza dowód twierdzenia o trzech prostych prostopadłych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D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 xml:space="preserve">8. Kąt między prostą </w:t>
            </w:r>
            <w:r>
              <w:br/>
              <w:t>a płaszczyzną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pojęcie kąta między prostą </w:t>
            </w:r>
            <w:r>
              <w:rPr>
                <w:bCs/>
              </w:rPr>
              <w:br/>
              <w:t>a płaszczyzną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Pr="00E62999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E62999">
              <w:t xml:space="preserve">wskazuje </w:t>
            </w:r>
            <w:r>
              <w:t>i wyznacza</w:t>
            </w:r>
            <w:r w:rsidRPr="00E62999">
              <w:t xml:space="preserve"> kąt</w:t>
            </w:r>
            <w:r>
              <w:t>y</w:t>
            </w:r>
            <w:r w:rsidRPr="00E62999">
              <w:t xml:space="preserve"> między odcinkami </w:t>
            </w:r>
            <w:r>
              <w:t>w </w:t>
            </w:r>
            <w:r w:rsidRPr="00E62999">
              <w:t>graniastosłup</w:t>
            </w:r>
            <w:r>
              <w:t>ie</w:t>
            </w:r>
            <w:r w:rsidRPr="00E62999">
              <w:t xml:space="preserve"> a płaszczyzną jego podstawy lub ścianą boczną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wskazuje i wyznacza kąty między odcinkami w ostrosłupie</w:t>
            </w:r>
            <w:r>
              <w:br/>
              <w:t xml:space="preserve">a płaszczyzną jego podstawy </w:t>
            </w:r>
          </w:p>
          <w:p w:rsidR="00210A25" w:rsidRPr="007E295E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7E295E">
              <w:rPr>
                <w:rFonts w:ascii="Quasi-LucidaBright CE" w:hAnsi="Quasi-LucidaBright CE" w:cs="Quasi-LucidaBright CE"/>
              </w:rPr>
              <w:t>rozwiązuje</w:t>
            </w:r>
            <w:r>
              <w:rPr>
                <w:rFonts w:ascii="Quasi-LucidaBright CE" w:hAnsi="Quasi-LucidaBright CE" w:cs="Quasi-LucidaBright CE"/>
              </w:rPr>
              <w:t xml:space="preserve"> </w:t>
            </w:r>
            <w:r w:rsidRPr="007E295E">
              <w:rPr>
                <w:rFonts w:ascii="Quasi-LucidaBright CE" w:hAnsi="Quasi-LucidaBright CE" w:cs="Quasi-LucidaBright CE"/>
              </w:rPr>
              <w:t xml:space="preserve">zadania </w:t>
            </w:r>
            <w:r>
              <w:rPr>
                <w:rFonts w:ascii="Quasi-LucidaBright CE" w:hAnsi="Quasi-LucidaBright CE" w:cs="Quasi-LucidaBright CE"/>
              </w:rPr>
              <w:t xml:space="preserve">dotyczące </w:t>
            </w:r>
            <w:r w:rsidRPr="004141E0">
              <w:rPr>
                <w:rFonts w:ascii="Quasi-LucidaBright CE" w:hAnsi="Quasi-LucidaBright CE" w:cs="Quasi-LucidaBright CE"/>
              </w:rPr>
              <w:t>miary kąta między</w:t>
            </w:r>
            <w:r w:rsidRPr="004141E0">
              <w:t xml:space="preserve"> </w:t>
            </w:r>
            <w:r>
              <w:t xml:space="preserve">prostą </w:t>
            </w:r>
            <w:r w:rsidRPr="007E295E">
              <w:t>a</w:t>
            </w:r>
            <w:r>
              <w:t> </w:t>
            </w:r>
            <w:r w:rsidRPr="007E295E">
              <w:t xml:space="preserve">płaszczyzną </w:t>
            </w:r>
            <w:r>
              <w:t>(również z wykorzystaniem trygonometrii)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9. Kąt dwuścienny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pojęcie kąta dwuściennego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miara kąta dwuściennego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wskazuje kąt między sąsiednimi ścianami wielościanów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wyznacza kąt między sąsiednimi ścianami wielościanów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rPr>
                <w:rFonts w:ascii="Quasi-LucidaBright CE" w:hAnsi="Quasi-LucidaBright CE" w:cs="Quasi-LucidaBright CE"/>
              </w:rPr>
              <w:t xml:space="preserve">rozwiązuje </w:t>
            </w:r>
            <w:r w:rsidRPr="007E295E">
              <w:rPr>
                <w:rFonts w:ascii="Quasi-LucidaBright CE" w:hAnsi="Quasi-LucidaBright CE" w:cs="Quasi-LucidaBright CE"/>
              </w:rPr>
              <w:t xml:space="preserve">zadania </w:t>
            </w:r>
            <w:r>
              <w:rPr>
                <w:rFonts w:ascii="Quasi-LucidaBright CE" w:hAnsi="Quasi-LucidaBright CE" w:cs="Quasi-LucidaBright CE"/>
              </w:rPr>
              <w:t>dotyczące</w:t>
            </w:r>
            <w:r w:rsidRPr="007E295E">
              <w:t xml:space="preserve"> </w:t>
            </w:r>
            <w:r w:rsidRPr="007E295E">
              <w:rPr>
                <w:rFonts w:ascii="Quasi-LucidaBright CE" w:hAnsi="Quasi-LucidaBright CE" w:cs="Quasi-LucidaBright CE"/>
              </w:rPr>
              <w:t>miar</w:t>
            </w:r>
            <w:r>
              <w:rPr>
                <w:rFonts w:ascii="Quasi-LucidaBright CE" w:hAnsi="Quasi-LucidaBright CE" w:cs="Quasi-LucidaBright CE"/>
              </w:rPr>
              <w:t>y</w:t>
            </w:r>
            <w:r w:rsidRPr="007E295E">
              <w:rPr>
                <w:rFonts w:ascii="Quasi-LucidaBright CE" w:hAnsi="Quasi-LucidaBright CE" w:cs="Quasi-LucidaBright CE"/>
              </w:rPr>
              <w:t xml:space="preserve"> </w:t>
            </w:r>
            <w:r>
              <w:t xml:space="preserve">kąta dwuściennego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/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  <w:r>
              <w:t>P–D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Pr="00747F21" w:rsidRDefault="00210A25" w:rsidP="00E06F11">
            <w:r>
              <w:lastRenderedPageBreak/>
              <w:t>10. Przekroje prostopadłościanów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różne przekroje sześcianu </w:t>
            </w:r>
          </w:p>
          <w:p w:rsidR="00210A25" w:rsidRPr="007042C3" w:rsidRDefault="00210A25" w:rsidP="00E06F11">
            <w:pPr>
              <w:jc w:val="center"/>
            </w:pP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wyznacza przekroje </w:t>
            </w:r>
            <w:r>
              <w:rPr>
                <w:bCs/>
              </w:rPr>
              <w:t>sześ</w:t>
            </w:r>
            <w:r w:rsidRPr="009B58F6">
              <w:rPr>
                <w:bCs/>
              </w:rPr>
              <w:t xml:space="preserve">cianu </w:t>
            </w:r>
            <w:r>
              <w:t xml:space="preserve"> 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danego przekroju (również z wykorzystaniem trygonometrii)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dotyczące przekrojów </w:t>
            </w:r>
            <w:r>
              <w:rPr>
                <w:bCs/>
              </w:rPr>
              <w:t>sześcianu</w:t>
            </w:r>
            <w:r>
              <w:t xml:space="preserve"> (również z wykorzystaniem trygonometrii)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R–W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210A25" w:rsidRPr="00CE6045" w:rsidRDefault="00210A25" w:rsidP="00E06F11">
            <w:pPr>
              <w:pStyle w:val="Nagwek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Przekroje ostrosłupów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  <w:tab w:val="num" w:pos="3903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różne przekroje </w:t>
            </w:r>
            <w:r>
              <w:t>ostrosłupa</w:t>
            </w:r>
          </w:p>
          <w:p w:rsidR="00210A25" w:rsidRPr="007042C3" w:rsidRDefault="00210A25" w:rsidP="00E06F11">
            <w:pPr>
              <w:jc w:val="center"/>
            </w:pP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wyznacza przekroje ostrosłupa prawidłowego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danego przekroju ostrosłupa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rozwiązuje zadania dotyczące przekrojów ostrosłupa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  <w:r>
              <w:t>R–W</w:t>
            </w:r>
          </w:p>
        </w:tc>
      </w:tr>
      <w:tr w:rsidR="00210A25" w:rsidTr="00210A25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210A25" w:rsidRDefault="00210A25" w:rsidP="00E06F11">
            <w:r>
              <w:rPr>
                <w:b/>
              </w:rPr>
              <w:t xml:space="preserve">3. </w:t>
            </w:r>
            <w:r>
              <w:rPr>
                <w:b/>
                <w:caps/>
              </w:rPr>
              <w:t>BRYŁY OBROTOWE</w:t>
            </w:r>
          </w:p>
        </w:tc>
      </w:tr>
      <w:tr w:rsidR="00210A25" w:rsidTr="00210A25">
        <w:trPr>
          <w:cantSplit/>
          <w:trHeight w:val="1897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1. Walec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210A25">
            <w:pPr>
              <w:pStyle w:val="Akapitzlist"/>
              <w:numPr>
                <w:ilvl w:val="0"/>
                <w:numId w:val="22"/>
              </w:numPr>
              <w:tabs>
                <w:tab w:val="clear" w:pos="643"/>
                <w:tab w:val="num" w:pos="355"/>
              </w:tabs>
              <w:ind w:left="355" w:hanging="355"/>
              <w:rPr>
                <w:bCs/>
              </w:rPr>
            </w:pPr>
            <w:r>
              <w:rPr>
                <w:bCs/>
              </w:rPr>
              <w:t>pojęcie</w:t>
            </w:r>
            <w:r w:rsidRPr="00E83590">
              <w:rPr>
                <w:bCs/>
              </w:rPr>
              <w:t xml:space="preserve"> walca</w:t>
            </w:r>
          </w:p>
          <w:p w:rsidR="00210A25" w:rsidRPr="00E83590" w:rsidRDefault="00210A25" w:rsidP="00210A25">
            <w:pPr>
              <w:pStyle w:val="Akapitzlist"/>
              <w:numPr>
                <w:ilvl w:val="0"/>
                <w:numId w:val="22"/>
              </w:numPr>
              <w:tabs>
                <w:tab w:val="clear" w:pos="643"/>
                <w:tab w:val="num" w:pos="355"/>
              </w:tabs>
              <w:ind w:left="355" w:hanging="355"/>
              <w:rPr>
                <w:bCs/>
              </w:rPr>
            </w:pPr>
            <w:r w:rsidRPr="00E83590">
              <w:rPr>
                <w:bCs/>
              </w:rPr>
              <w:t>podstawa, wysokość</w:t>
            </w:r>
            <w:r>
              <w:rPr>
                <w:bCs/>
              </w:rPr>
              <w:t>,</w:t>
            </w:r>
            <w:r w:rsidRPr="00E83590">
              <w:rPr>
                <w:bCs/>
              </w:rPr>
              <w:t xml:space="preserve"> tworząca </w:t>
            </w:r>
            <w:r>
              <w:rPr>
                <w:bCs/>
              </w:rPr>
              <w:t>walca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E83590">
              <w:rPr>
                <w:bCs/>
              </w:rPr>
              <w:t>wzór na pole powierz</w:t>
            </w:r>
            <w:r>
              <w:rPr>
                <w:bCs/>
              </w:rPr>
              <w:t>chni  bocznej i całkowitej walca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 xml:space="preserve">przekrój osiowy </w:t>
            </w:r>
            <w:r w:rsidRPr="00A0068C">
              <w:rPr>
                <w:bCs/>
              </w:rPr>
              <w:t>walca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wzór na objętość walca</w:t>
            </w:r>
          </w:p>
          <w:p w:rsidR="00210A25" w:rsidRPr="00A0068C" w:rsidRDefault="00210A25" w:rsidP="00E06F11">
            <w:pPr>
              <w:rPr>
                <w:bCs/>
              </w:rPr>
            </w:pP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Pr="00A61513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603213">
              <w:t>wskazuje element</w:t>
            </w:r>
            <w:r>
              <w:t xml:space="preserve">y charakteryzujące walec 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zaznacza przekrój osiowy walca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całkowitej walca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objętość walca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rozwiązuje zadania dotyczące rozwinięcia powierzchni bocznej walca</w:t>
            </w:r>
          </w:p>
          <w:p w:rsidR="00210A25" w:rsidRPr="006D2241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funkcje trygonometryczne do obliczania </w:t>
            </w:r>
            <w:r w:rsidRPr="006D2241">
              <w:t>pola powierzchni i objętości walca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o podwyższonym stopniu trudności dotyczące walca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P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>
            <w:pPr>
              <w:jc w:val="center"/>
            </w:pPr>
          </w:p>
          <w:p w:rsidR="00210A25" w:rsidRPr="006D2241" w:rsidRDefault="00210A25" w:rsidP="00E06F11">
            <w:pPr>
              <w:jc w:val="center"/>
            </w:pPr>
            <w:r>
              <w:t>D–</w:t>
            </w:r>
            <w:r w:rsidRPr="006D2241">
              <w:t>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A0068C" w:rsidRDefault="00210A25" w:rsidP="00E06F11">
            <w:r>
              <w:lastRenderedPageBreak/>
              <w:t>2</w:t>
            </w:r>
            <w:r w:rsidRPr="00A0068C">
              <w:t>. Stożek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pojęcie stożka</w:t>
            </w:r>
          </w:p>
          <w:p w:rsidR="00210A25" w:rsidRPr="00A3686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A36865">
              <w:rPr>
                <w:bCs/>
              </w:rPr>
              <w:t>podstawa</w:t>
            </w:r>
            <w:r w:rsidRPr="008F4E31">
              <w:rPr>
                <w:bCs/>
              </w:rPr>
              <w:t xml:space="preserve">, wierzchołek, wysokość, </w:t>
            </w:r>
          </w:p>
          <w:p w:rsidR="00210A25" w:rsidRDefault="00210A25" w:rsidP="00E06F11">
            <w:pPr>
              <w:ind w:left="360"/>
              <w:rPr>
                <w:bCs/>
              </w:rPr>
            </w:pPr>
            <w:r>
              <w:rPr>
                <w:bCs/>
              </w:rPr>
              <w:t>tworząca stożka</w:t>
            </w:r>
          </w:p>
          <w:p w:rsidR="00210A25" w:rsidRPr="00A0068C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A0068C">
              <w:rPr>
                <w:bCs/>
              </w:rPr>
              <w:t xml:space="preserve">wzór na pole powierzchni </w:t>
            </w:r>
            <w:r>
              <w:rPr>
                <w:bCs/>
              </w:rPr>
              <w:t xml:space="preserve">bocznej i pole powierzchni </w:t>
            </w:r>
            <w:r w:rsidRPr="00A0068C">
              <w:rPr>
                <w:bCs/>
              </w:rPr>
              <w:t>całkowitej stożka</w:t>
            </w:r>
          </w:p>
          <w:p w:rsidR="00210A25" w:rsidRPr="00541E5C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541E5C">
              <w:rPr>
                <w:bCs/>
              </w:rPr>
              <w:t>przekrój osiowy stożka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A0068C">
              <w:rPr>
                <w:bCs/>
              </w:rPr>
              <w:t xml:space="preserve"> kąt rozwarcia </w:t>
            </w:r>
            <w:r>
              <w:rPr>
                <w:bCs/>
              </w:rPr>
              <w:t>stożka</w:t>
            </w:r>
          </w:p>
          <w:p w:rsidR="00210A25" w:rsidRPr="00A0068C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A0068C">
              <w:rPr>
                <w:bCs/>
              </w:rPr>
              <w:t>wzór na objętość stożka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A0068C" w:rsidRDefault="00210A25" w:rsidP="00E06F11">
            <w:r w:rsidRPr="00A0068C">
              <w:t>Uczeń:</w:t>
            </w:r>
          </w:p>
          <w:p w:rsidR="00210A25" w:rsidRPr="00A61513" w:rsidRDefault="00210A25" w:rsidP="00E06F11">
            <w:pPr>
              <w:numPr>
                <w:ilvl w:val="0"/>
                <w:numId w:val="6"/>
              </w:numPr>
              <w:tabs>
                <w:tab w:val="clear" w:pos="360"/>
                <w:tab w:val="num" w:pos="502"/>
              </w:tabs>
              <w:ind w:left="357" w:hanging="357"/>
            </w:pPr>
            <w:r w:rsidRPr="00603213">
              <w:t>wskazuje element</w:t>
            </w:r>
            <w:r>
              <w:t xml:space="preserve">y charakteryzujące stożek </w:t>
            </w:r>
          </w:p>
          <w:p w:rsidR="00210A25" w:rsidRPr="00A0068C" w:rsidRDefault="00210A25" w:rsidP="00E06F11">
            <w:pPr>
              <w:numPr>
                <w:ilvl w:val="0"/>
                <w:numId w:val="6"/>
              </w:numPr>
              <w:tabs>
                <w:tab w:val="clear" w:pos="360"/>
                <w:tab w:val="num" w:pos="502"/>
              </w:tabs>
              <w:ind w:left="357" w:hanging="357"/>
            </w:pPr>
            <w:r w:rsidRPr="00A0068C">
              <w:t xml:space="preserve">zaznacza przekrój osiowy </w:t>
            </w:r>
            <w:r>
              <w:t xml:space="preserve">stożka </w:t>
            </w:r>
            <w:r w:rsidRPr="00A0068C">
              <w:t>i kąt rozwarcia stożka</w:t>
            </w:r>
          </w:p>
          <w:p w:rsidR="00210A25" w:rsidRPr="00A0068C" w:rsidRDefault="00210A25" w:rsidP="00E06F11">
            <w:pPr>
              <w:numPr>
                <w:ilvl w:val="0"/>
                <w:numId w:val="6"/>
              </w:numPr>
              <w:tabs>
                <w:tab w:val="clear" w:pos="360"/>
                <w:tab w:val="num" w:pos="502"/>
              </w:tabs>
              <w:ind w:left="357" w:hanging="357"/>
            </w:pPr>
            <w:r w:rsidRPr="00A0068C">
              <w:t xml:space="preserve">oblicza pole powierzchni całkowitej stożka </w:t>
            </w:r>
          </w:p>
          <w:p w:rsidR="00210A25" w:rsidRPr="00A0068C" w:rsidRDefault="00210A25" w:rsidP="00E06F11">
            <w:pPr>
              <w:numPr>
                <w:ilvl w:val="0"/>
                <w:numId w:val="6"/>
              </w:numPr>
              <w:tabs>
                <w:tab w:val="clear" w:pos="360"/>
                <w:tab w:val="num" w:pos="502"/>
              </w:tabs>
              <w:ind w:left="357" w:hanging="357"/>
            </w:pPr>
            <w:r w:rsidRPr="00A0068C">
              <w:t>oblicza objętość stożka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tabs>
                <w:tab w:val="clear" w:pos="360"/>
                <w:tab w:val="num" w:pos="502"/>
              </w:tabs>
              <w:ind w:left="357" w:hanging="357"/>
            </w:pPr>
            <w:r w:rsidRPr="00A0068C">
              <w:t xml:space="preserve">rozwiązuje zadania dotyczące </w:t>
            </w:r>
            <w:r w:rsidRPr="006C47AA">
              <w:t xml:space="preserve">rozwinięcia </w:t>
            </w:r>
            <w:r w:rsidRPr="00A0068C">
              <w:t>powierzchni bocznej stożka</w:t>
            </w:r>
          </w:p>
          <w:p w:rsidR="00210A25" w:rsidRPr="00A0068C" w:rsidRDefault="00210A25" w:rsidP="00E06F11">
            <w:pPr>
              <w:numPr>
                <w:ilvl w:val="0"/>
                <w:numId w:val="6"/>
              </w:numPr>
              <w:tabs>
                <w:tab w:val="clear" w:pos="360"/>
                <w:tab w:val="num" w:pos="502"/>
              </w:tabs>
              <w:ind w:left="357" w:hanging="357"/>
            </w:pPr>
            <w:r>
              <w:t xml:space="preserve">stosuje funkcje trygonometryczne do obliczania </w:t>
            </w:r>
            <w:r w:rsidRPr="006D2241">
              <w:t>po</w:t>
            </w:r>
            <w:r>
              <w:t xml:space="preserve">la powierzchni i objętości stożka </w:t>
            </w:r>
          </w:p>
          <w:p w:rsidR="00210A25" w:rsidRPr="00A0068C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A0068C">
              <w:t>rozwiązuje zadania o podwyższonym stopniu trudności</w:t>
            </w:r>
            <w:r>
              <w:t xml:space="preserve"> dotyczące stożka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D–W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A0068C" w:rsidRDefault="00210A25" w:rsidP="00E06F11">
            <w:r>
              <w:t>3</w:t>
            </w:r>
            <w:r w:rsidRPr="00A0068C">
              <w:t>. Kula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kula i sfera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przekroje kuli, koło wielkie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pojęcie płaszczyzny stycznej do kuli</w:t>
            </w:r>
          </w:p>
          <w:p w:rsidR="00210A25" w:rsidRPr="00A0068C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A0068C">
              <w:rPr>
                <w:bCs/>
              </w:rPr>
              <w:t>wzór na pole powierzchni kuli</w:t>
            </w:r>
          </w:p>
          <w:p w:rsidR="00210A25" w:rsidRPr="00A0068C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 w:rsidRPr="00A0068C">
              <w:rPr>
                <w:bCs/>
              </w:rPr>
              <w:t>wzór na objętość kuli</w:t>
            </w:r>
          </w:p>
          <w:p w:rsidR="00210A25" w:rsidRPr="00A0068C" w:rsidRDefault="00210A25" w:rsidP="00E06F11">
            <w:pPr>
              <w:rPr>
                <w:bCs/>
              </w:rPr>
            </w:pP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Pr="00A61513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wskazuje elementy charakteryzujące kulę i sferę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zaznacza przekroje kuli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kuli i jej objętość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funkcje trygonometryczne do obliczania </w:t>
            </w:r>
            <w:r w:rsidRPr="006D2241">
              <w:t>po</w:t>
            </w:r>
            <w:r>
              <w:t>la powierzchni i objętości kuli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</w:t>
            </w:r>
            <w:r w:rsidRPr="00A0068C">
              <w:t>o podwyższonym stopniu trudności</w:t>
            </w:r>
            <w:r>
              <w:t xml:space="preserve"> dotyczące kuli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K–P</w:t>
            </w:r>
          </w:p>
          <w:p w:rsidR="00210A25" w:rsidRDefault="00210A25" w:rsidP="00E06F11">
            <w:pPr>
              <w:jc w:val="center"/>
            </w:pPr>
            <w:r>
              <w:t>K</w:t>
            </w:r>
          </w:p>
          <w:p w:rsidR="00210A25" w:rsidRDefault="00210A25" w:rsidP="00E06F11">
            <w:pPr>
              <w:jc w:val="center"/>
            </w:pPr>
            <w:r>
              <w:t>K–R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  <w:p w:rsidR="00210A25" w:rsidRDefault="00210A25" w:rsidP="00E06F11"/>
          <w:p w:rsidR="00210A25" w:rsidRDefault="00210A25" w:rsidP="00E06F11">
            <w:pPr>
              <w:jc w:val="center"/>
            </w:pPr>
            <w:r>
              <w:t>D–W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4. Bryły podobne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bryły podobne</w:t>
            </w:r>
          </w:p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skala podobieństwa brył podobnych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wyznacza skalę podobieństwa brył podobnych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 w:rsidRPr="00696C85">
              <w:t xml:space="preserve">wykorzystuje </w:t>
            </w:r>
            <w:r>
              <w:t>zależność między objętościami brył podobnych 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P–D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5. Zagadnienia optymalizacyjne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numPr>
                <w:ilvl w:val="0"/>
                <w:numId w:val="5"/>
              </w:numPr>
              <w:tabs>
                <w:tab w:val="num" w:pos="360"/>
              </w:tabs>
              <w:ind w:left="360"/>
              <w:rPr>
                <w:bCs/>
              </w:rPr>
            </w:pPr>
            <w:r>
              <w:rPr>
                <w:bCs/>
              </w:rPr>
              <w:t>funkcje pola powierzchni i objętości brył oraz ich dziedziny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r>
              <w:t>Uczeń:</w:t>
            </w:r>
          </w:p>
          <w:p w:rsidR="00210A25" w:rsidRDefault="00210A25" w:rsidP="00E06F11">
            <w:pPr>
              <w:numPr>
                <w:ilvl w:val="0"/>
                <w:numId w:val="6"/>
              </w:numPr>
              <w:ind w:left="357" w:hanging="357"/>
            </w:pPr>
            <w:r>
              <w:t>opisuje funkcją jednej zmiennej pole powierzchni lub objętość bryły i określa jej dziedzinę oraz wyznacza jej największą lub najmniejszą wartość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R–D</w:t>
            </w:r>
          </w:p>
        </w:tc>
      </w:tr>
      <w:tr w:rsidR="00210A25" w:rsidTr="00210A25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210A25" w:rsidRDefault="00210A25" w:rsidP="00E06F11">
            <w:r>
              <w:rPr>
                <w:b/>
              </w:rPr>
              <w:t xml:space="preserve">4. </w:t>
            </w:r>
            <w:r>
              <w:rPr>
                <w:b/>
                <w:bCs/>
                <w:caps/>
              </w:rPr>
              <w:t>PRZYKŁADY DOWODÓW W MATEMATYCE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 w:rsidRPr="00E62999">
              <w:lastRenderedPageBreak/>
              <w:t>1. Dowody w algebrze</w:t>
            </w:r>
            <w:r>
              <w:t xml:space="preserve"> (1)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 w:rsidRPr="00E62999">
              <w:t>implikacj</w:t>
            </w:r>
            <w:r>
              <w:t>a: poprzednik, następnik, założenie i teza twierdzenia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twierdzenia dotyczące własności liczb całkowitych</w:t>
            </w:r>
          </w:p>
          <w:p w:rsidR="00210A25" w:rsidRPr="00E62999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twierdzenia dotyczące wyrażeń algebraicznych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 w:rsidRPr="00E62999">
              <w:t>Uczeń: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dowodzi</w:t>
            </w:r>
            <w:r w:rsidRPr="00F51448">
              <w:t xml:space="preserve"> własności liczb</w:t>
            </w:r>
            <w:r>
              <w:t xml:space="preserve"> całkowitych, zapisanych z pomocą potęg lub wyrażeń algebraicznych, np. podzielności</w:t>
            </w:r>
          </w:p>
          <w:p w:rsidR="00210A25" w:rsidRPr="00E62999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przeprowadza dowód nie wprost, np. dotyczący liczb pierwszych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Pr="00E62999" w:rsidRDefault="00210A25" w:rsidP="00E06F11">
            <w:pPr>
              <w:jc w:val="center"/>
            </w:pPr>
            <w:r>
              <w:t>P–</w:t>
            </w:r>
            <w:r w:rsidRPr="00E62999">
              <w:t>D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>D–W</w:t>
            </w:r>
          </w:p>
          <w:p w:rsidR="00210A25" w:rsidRPr="00E62999" w:rsidRDefault="00210A25" w:rsidP="00E06F11">
            <w:pPr>
              <w:jc w:val="center"/>
            </w:pP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>
              <w:t>2</w:t>
            </w:r>
            <w:r w:rsidRPr="00E62999">
              <w:t>. Dowody w algebrze</w:t>
            </w:r>
            <w:r>
              <w:t xml:space="preserve"> (2)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zależność między średnią arytmetyczną a średnią geometryczną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dowód metodą równoważnego przekształcania tezy</w:t>
            </w:r>
          </w:p>
          <w:p w:rsidR="00210A25" w:rsidRDefault="00210A25" w:rsidP="00E06F11">
            <w:pPr>
              <w:ind w:left="357"/>
              <w:rPr>
                <w:sz w:val="22"/>
              </w:rPr>
            </w:pP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F51448" w:rsidRDefault="00210A25" w:rsidP="00E06F11">
            <w:r w:rsidRPr="00E62999">
              <w:t>Uczeń: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stosuje metodę równoważnego przekształcania tezy do uzasadnienia własności wyrażeń algebraicznych</w:t>
            </w:r>
          </w:p>
          <w:p w:rsidR="00210A25" w:rsidRPr="00E62999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dowodzi prawdziwości </w:t>
            </w:r>
            <w:r w:rsidRPr="00F51448">
              <w:t>nierówności</w:t>
            </w:r>
            <w:r>
              <w:t>, wykorzystując zależność między średnią arytmetyczną a średnią geometryczną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  <w:r>
              <w:t xml:space="preserve">P–D </w:t>
            </w:r>
          </w:p>
          <w:p w:rsidR="00210A25" w:rsidRDefault="00210A25" w:rsidP="00E06F11">
            <w:pPr>
              <w:jc w:val="center"/>
            </w:pPr>
          </w:p>
          <w:p w:rsidR="00210A25" w:rsidRDefault="00210A25" w:rsidP="00E06F11">
            <w:pPr>
              <w:jc w:val="center"/>
            </w:pPr>
          </w:p>
          <w:p w:rsidR="00210A25" w:rsidRPr="00E62999" w:rsidRDefault="00210A25" w:rsidP="00E06F11">
            <w:pPr>
              <w:jc w:val="center"/>
            </w:pPr>
            <w:r>
              <w:t>K–</w:t>
            </w:r>
            <w:r w:rsidRPr="00E62999">
              <w:t>D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>
              <w:t>3</w:t>
            </w:r>
            <w:r w:rsidRPr="00E62999">
              <w:t>. Dowody w geometrii</w:t>
            </w:r>
            <w:r>
              <w:t xml:space="preserve"> (1)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F51448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twierdzenia dotyczące własności wielokątów, z wykorzystaniem cech przystawania trójkątów </w:t>
            </w:r>
          </w:p>
          <w:p w:rsidR="00210A25" w:rsidRPr="00E62999" w:rsidRDefault="00210A25" w:rsidP="00E06F11"/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 w:rsidRPr="00E62999">
              <w:t>Uczeń: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podaje założenie i tezę twierdzenia geometrycznego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wykorzystuje przystawanie trójkątów do uzasadniania własności wielokątów </w:t>
            </w:r>
          </w:p>
          <w:p w:rsidR="00210A25" w:rsidRPr="00E62999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wykorzystuje</w:t>
            </w:r>
            <w:r w:rsidRPr="00F51448">
              <w:t xml:space="preserve"> własności figur płaskich do dowodzenia twierdzeń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spacing w:before="120"/>
              <w:jc w:val="center"/>
            </w:pPr>
          </w:p>
          <w:p w:rsidR="00210A25" w:rsidRDefault="00210A25" w:rsidP="00E06F11">
            <w:pPr>
              <w:spacing w:before="120"/>
              <w:jc w:val="center"/>
            </w:pPr>
            <w:r>
              <w:t>K</w:t>
            </w:r>
          </w:p>
          <w:p w:rsidR="00210A25" w:rsidRDefault="00210A25" w:rsidP="00E06F11">
            <w:pPr>
              <w:spacing w:before="120"/>
              <w:jc w:val="center"/>
            </w:pPr>
            <w:r>
              <w:t>P–D</w:t>
            </w:r>
          </w:p>
          <w:p w:rsidR="00210A25" w:rsidRPr="00E62999" w:rsidRDefault="00210A25" w:rsidP="00E06F11">
            <w:pPr>
              <w:spacing w:before="120"/>
              <w:jc w:val="center"/>
            </w:pPr>
            <w:r>
              <w:t>P–</w:t>
            </w:r>
            <w:r w:rsidRPr="00E62999">
              <w:t>D</w:t>
            </w:r>
          </w:p>
        </w:tc>
      </w:tr>
      <w:tr w:rsidR="00210A25" w:rsidTr="00210A25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>
              <w:t>4</w:t>
            </w:r>
            <w:r w:rsidRPr="00E62999">
              <w:t>. Dowody w geometrii</w:t>
            </w:r>
            <w:r>
              <w:t xml:space="preserve"> (2)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F51448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twierdzenia dotyczące własności wielokątów, z wykorzystaniem cech podobieństwa trójkątów</w:t>
            </w:r>
          </w:p>
          <w:p w:rsidR="00210A25" w:rsidRPr="00E62999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twierdzenie o dwusiecznej ką</w:t>
            </w:r>
            <w:r w:rsidRPr="00F51448">
              <w:t>ta w</w:t>
            </w:r>
            <w:r>
              <w:t> </w:t>
            </w:r>
            <w:r w:rsidRPr="00F51448">
              <w:t>trójkącie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Pr="00E62999" w:rsidRDefault="00210A25" w:rsidP="00E06F11">
            <w:r w:rsidRPr="00E62999">
              <w:t>Uczeń: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podaje założenie i tezę twierdzenia geometrycznego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wykorzystuje podobieństwo trójkątów do uzasadniania własności wielokątów </w:t>
            </w:r>
          </w:p>
          <w:p w:rsidR="00210A25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dowodzi własności odcinków w trójkącie prostokątnym</w:t>
            </w:r>
          </w:p>
          <w:p w:rsidR="00210A25" w:rsidRPr="00E62999" w:rsidRDefault="00210A25" w:rsidP="00210A25">
            <w:pPr>
              <w:numPr>
                <w:ilvl w:val="0"/>
                <w:numId w:val="20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wykorzystuje</w:t>
            </w:r>
            <w:r w:rsidRPr="00F51448">
              <w:t xml:space="preserve"> własności figur płaskich do dowodzenia twierdzeń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210A25" w:rsidRDefault="00210A25" w:rsidP="00E06F11">
            <w:pPr>
              <w:spacing w:before="120"/>
              <w:jc w:val="center"/>
            </w:pPr>
          </w:p>
          <w:p w:rsidR="00210A25" w:rsidRDefault="00210A25" w:rsidP="00E06F11">
            <w:pPr>
              <w:spacing w:before="120"/>
              <w:jc w:val="center"/>
            </w:pPr>
            <w:r>
              <w:t>K</w:t>
            </w:r>
          </w:p>
          <w:p w:rsidR="00210A25" w:rsidRDefault="00210A25" w:rsidP="00E06F11">
            <w:pPr>
              <w:spacing w:before="120"/>
              <w:jc w:val="center"/>
            </w:pPr>
            <w:r>
              <w:t>P–D</w:t>
            </w:r>
          </w:p>
          <w:p w:rsidR="00210A25" w:rsidRDefault="00210A25" w:rsidP="00E06F11">
            <w:pPr>
              <w:spacing w:before="120"/>
              <w:jc w:val="center"/>
            </w:pPr>
            <w:r>
              <w:t xml:space="preserve">P–D </w:t>
            </w:r>
          </w:p>
          <w:p w:rsidR="00210A25" w:rsidRPr="00E62999" w:rsidRDefault="00210A25" w:rsidP="00E06F11">
            <w:pPr>
              <w:spacing w:before="120"/>
              <w:jc w:val="center"/>
            </w:pPr>
            <w:r>
              <w:t>P–</w:t>
            </w:r>
            <w:r w:rsidRPr="00E62999">
              <w:t>D</w:t>
            </w:r>
          </w:p>
        </w:tc>
      </w:tr>
      <w:tr w:rsidR="00210A25" w:rsidTr="00210A25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210A25" w:rsidRDefault="00210A25" w:rsidP="00E06F11">
            <w:r>
              <w:rPr>
                <w:b/>
              </w:rPr>
              <w:t xml:space="preserve">5. </w:t>
            </w:r>
            <w:r>
              <w:rPr>
                <w:b/>
                <w:caps/>
              </w:rPr>
              <w:t>Powtórzenie</w:t>
            </w:r>
          </w:p>
        </w:tc>
      </w:tr>
    </w:tbl>
    <w:p w:rsidR="00210A25" w:rsidRDefault="00210A25" w:rsidP="00210A25">
      <w:bookmarkStart w:id="1" w:name="_GoBack"/>
      <w:bookmarkEnd w:id="1"/>
    </w:p>
    <w:p w:rsidR="00AF79FB" w:rsidRDefault="00AF79FB"/>
    <w:sectPr w:rsidR="00AF79FB" w:rsidSect="004B0DD7">
      <w:headerReference w:type="default" r:id="rId36"/>
      <w:footerReference w:type="even" r:id="rId37"/>
      <w:footerReference w:type="default" r:id="rId38"/>
      <w:pgSz w:w="16838" w:h="11906" w:orient="landscape"/>
      <w:pgMar w:top="1418" w:right="458" w:bottom="1418" w:left="5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Quasi-LucidaBrigh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4C4" w:rsidRDefault="00210A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174C4" w:rsidRDefault="00210A2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4C4" w:rsidRDefault="00210A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5</w:t>
    </w:r>
    <w:r>
      <w:rPr>
        <w:rStyle w:val="Numerstrony"/>
      </w:rPr>
      <w:fldChar w:fldCharType="end"/>
    </w:r>
  </w:p>
  <w:p w:rsidR="00F174C4" w:rsidRDefault="00210A25">
    <w:pPr>
      <w:pStyle w:val="Stopka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74C4" w:rsidRDefault="00210A25" w:rsidP="00090E70">
    <w:pPr>
      <w:pStyle w:val="Nagwek"/>
      <w:jc w:val="right"/>
    </w:pPr>
    <w:proofErr w:type="spellStart"/>
    <w:r w:rsidRPr="00090E70">
      <w:t>MATeMAtyka</w:t>
    </w:r>
    <w:proofErr w:type="spellEnd"/>
    <w:r w:rsidRPr="00090E70">
      <w:t xml:space="preserve"> </w:t>
    </w:r>
    <w:r>
      <w:t>4</w:t>
    </w:r>
    <w:r w:rsidRPr="00090E70">
      <w:t xml:space="preserve">. Plan wynikowy. </w:t>
    </w:r>
    <w:proofErr w:type="spellStart"/>
    <w:r w:rsidRPr="00090E70">
      <w:t>ZPiR</w:t>
    </w:r>
    <w:proofErr w:type="spellEnd"/>
    <w:r w:rsidRPr="0079605A">
      <w:rPr>
        <w:color w:val="92D050"/>
      </w:rPr>
      <w:t xml:space="preserve">   </w:t>
    </w:r>
    <w:r>
      <w:rPr>
        <w:noProof/>
      </w:rPr>
      <w:drawing>
        <wp:inline distT="0" distB="0" distL="0" distR="0" wp14:anchorId="3A9D64A0" wp14:editId="432A25DE">
          <wp:extent cx="466725" cy="409575"/>
          <wp:effectExtent l="19050" t="0" r="9525" b="0"/>
          <wp:docPr id="27" name="Obraz 1" descr="Opis: Opis: Opis: cid:image001.jpg@01CBFE96.08DC0E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Opis: Opis: cid:image001.jpg@01CBFE96.08DC0EA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74C4" w:rsidRPr="00090E70" w:rsidRDefault="00210A25" w:rsidP="00090E7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2B56D3E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A1343F"/>
    <w:multiLevelType w:val="hybridMultilevel"/>
    <w:tmpl w:val="06DEBB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09510D54"/>
    <w:multiLevelType w:val="hybridMultilevel"/>
    <w:tmpl w:val="27380CE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17AB228A"/>
    <w:multiLevelType w:val="hybridMultilevel"/>
    <w:tmpl w:val="5E08BB7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1A4D2395"/>
    <w:multiLevelType w:val="hybridMultilevel"/>
    <w:tmpl w:val="7F7408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1AB54FB6"/>
    <w:multiLevelType w:val="hybridMultilevel"/>
    <w:tmpl w:val="8F7E6E7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2E442D95"/>
    <w:multiLevelType w:val="hybridMultilevel"/>
    <w:tmpl w:val="E98637D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9" w15:restartNumberingAfterBreak="0">
    <w:nsid w:val="2E5C3271"/>
    <w:multiLevelType w:val="hybridMultilevel"/>
    <w:tmpl w:val="CFEC19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0" w15:restartNumberingAfterBreak="0">
    <w:nsid w:val="2E5F2DC2"/>
    <w:multiLevelType w:val="hybridMultilevel"/>
    <w:tmpl w:val="62283254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1" w15:restartNumberingAfterBreak="0">
    <w:nsid w:val="308E738E"/>
    <w:multiLevelType w:val="hybridMultilevel"/>
    <w:tmpl w:val="E31C5E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37382E4F"/>
    <w:multiLevelType w:val="hybridMultilevel"/>
    <w:tmpl w:val="FC7E010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48EF3C0A"/>
    <w:multiLevelType w:val="hybridMultilevel"/>
    <w:tmpl w:val="0348316E"/>
    <w:lvl w:ilvl="0" w:tplc="B84EFC92"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4C27AF"/>
    <w:multiLevelType w:val="hybridMultilevel"/>
    <w:tmpl w:val="221ABE6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5" w15:restartNumberingAfterBreak="0">
    <w:nsid w:val="4AB539A9"/>
    <w:multiLevelType w:val="hybridMultilevel"/>
    <w:tmpl w:val="93C6925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904BA"/>
    <w:multiLevelType w:val="hybridMultilevel"/>
    <w:tmpl w:val="17C06A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7" w15:restartNumberingAfterBreak="0">
    <w:nsid w:val="50AA4FC8"/>
    <w:multiLevelType w:val="hybridMultilevel"/>
    <w:tmpl w:val="F22C2EB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8" w15:restartNumberingAfterBreak="0">
    <w:nsid w:val="630E6427"/>
    <w:multiLevelType w:val="hybridMultilevel"/>
    <w:tmpl w:val="550E6B90"/>
    <w:lvl w:ilvl="0" w:tplc="B84EFC92"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643"/>
        </w:tabs>
        <w:ind w:left="-6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7"/>
        </w:tabs>
        <w:ind w:left="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</w:abstractNum>
  <w:abstractNum w:abstractNumId="19" w15:restartNumberingAfterBreak="0">
    <w:nsid w:val="73346B2E"/>
    <w:multiLevelType w:val="hybridMultilevel"/>
    <w:tmpl w:val="2DF206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0" w15:restartNumberingAfterBreak="0">
    <w:nsid w:val="786D3FDB"/>
    <w:multiLevelType w:val="hybridMultilevel"/>
    <w:tmpl w:val="0600856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1" w15:restartNumberingAfterBreak="0">
    <w:nsid w:val="7EF310F0"/>
    <w:multiLevelType w:val="hybridMultilevel"/>
    <w:tmpl w:val="92A2DF3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21"/>
  </w:num>
  <w:num w:numId="8">
    <w:abstractNumId w:val="12"/>
  </w:num>
  <w:num w:numId="9">
    <w:abstractNumId w:val="5"/>
  </w:num>
  <w:num w:numId="10">
    <w:abstractNumId w:val="16"/>
  </w:num>
  <w:num w:numId="11">
    <w:abstractNumId w:val="1"/>
  </w:num>
  <w:num w:numId="12">
    <w:abstractNumId w:val="17"/>
  </w:num>
  <w:num w:numId="13">
    <w:abstractNumId w:val="4"/>
  </w:num>
  <w:num w:numId="14">
    <w:abstractNumId w:val="6"/>
  </w:num>
  <w:num w:numId="15">
    <w:abstractNumId w:val="10"/>
  </w:num>
  <w:num w:numId="16">
    <w:abstractNumId w:val="20"/>
  </w:num>
  <w:num w:numId="17">
    <w:abstractNumId w:val="9"/>
  </w:num>
  <w:num w:numId="18">
    <w:abstractNumId w:val="8"/>
  </w:num>
  <w:num w:numId="19">
    <w:abstractNumId w:val="2"/>
  </w:num>
  <w:num w:numId="20">
    <w:abstractNumId w:val="15"/>
  </w:num>
  <w:num w:numId="21">
    <w:abstractNumId w:val="0"/>
  </w:num>
  <w:num w:numId="22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25"/>
    <w:rsid w:val="00210A25"/>
    <w:rsid w:val="00A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CC37"/>
  <w15:chartTrackingRefBased/>
  <w15:docId w15:val="{9778D87E-1910-4D80-B64D-181BB8A7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0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0A2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210A25"/>
    <w:pPr>
      <w:keepNext/>
      <w:jc w:val="center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0A2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qFormat/>
    <w:rsid w:val="00210A25"/>
    <w:pPr>
      <w:keepNext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link w:val="Nagwek6Znak"/>
    <w:qFormat/>
    <w:rsid w:val="00210A2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10A25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210A25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0A25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210A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210A25"/>
    <w:rPr>
      <w:rFonts w:ascii="Times New Roman" w:eastAsia="Times New Roman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210A25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210A2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210A2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210A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210A2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10A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10A25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0A25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210A25"/>
  </w:style>
  <w:style w:type="paragraph" w:styleId="Tekstpodstawowywcity">
    <w:name w:val="Body Text Indent"/>
    <w:basedOn w:val="Normalny"/>
    <w:link w:val="TekstpodstawowywcityZnak"/>
    <w:rsid w:val="00210A2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10A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0A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A2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210A25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uiPriority w:val="99"/>
    <w:qFormat/>
    <w:rsid w:val="00210A25"/>
    <w:pPr>
      <w:ind w:left="720"/>
      <w:contextualSpacing/>
    </w:pPr>
  </w:style>
  <w:style w:type="paragraph" w:styleId="Lista">
    <w:name w:val="List"/>
    <w:basedOn w:val="Normalny"/>
    <w:uiPriority w:val="99"/>
    <w:unhideWhenUsed/>
    <w:rsid w:val="00210A25"/>
    <w:pPr>
      <w:ind w:left="283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210A25"/>
    <w:pPr>
      <w:numPr>
        <w:numId w:val="21"/>
      </w:numPr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210A25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10A2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0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0A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0A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0A2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10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Arial20">
    <w:name w:val="Tytul Arial 20"/>
    <w:basedOn w:val="Nagwek2"/>
    <w:link w:val="TytulArial20Znak"/>
    <w:qFormat/>
    <w:rsid w:val="00210A25"/>
    <w:pPr>
      <w:spacing w:line="276" w:lineRule="auto"/>
    </w:pPr>
    <w:rPr>
      <w:rFonts w:ascii="Arial" w:hAnsi="Arial" w:cs="Arial"/>
      <w:color w:val="92D050"/>
      <w:sz w:val="40"/>
      <w:szCs w:val="40"/>
    </w:rPr>
  </w:style>
  <w:style w:type="paragraph" w:customStyle="1" w:styleId="PodtytulArial14">
    <w:name w:val="Podtytul Arial 14"/>
    <w:basedOn w:val="TytulArial20"/>
    <w:link w:val="PodtytulArial14Znak"/>
    <w:qFormat/>
    <w:rsid w:val="00210A25"/>
    <w:pPr>
      <w:spacing w:before="0"/>
    </w:pPr>
    <w:rPr>
      <w:sz w:val="28"/>
      <w:szCs w:val="28"/>
    </w:rPr>
  </w:style>
  <w:style w:type="character" w:customStyle="1" w:styleId="TytulArial20Znak">
    <w:name w:val="Tytul Arial 20 Znak"/>
    <w:basedOn w:val="Nagwek2Znak"/>
    <w:link w:val="TytulArial20"/>
    <w:rsid w:val="00210A25"/>
    <w:rPr>
      <w:rFonts w:ascii="Arial" w:eastAsia="Times New Roman" w:hAnsi="Arial" w:cs="Arial"/>
      <w:b/>
      <w:bCs/>
      <w:color w:val="92D050"/>
      <w:sz w:val="40"/>
      <w:szCs w:val="40"/>
      <w:lang w:eastAsia="pl-PL"/>
    </w:rPr>
  </w:style>
  <w:style w:type="character" w:customStyle="1" w:styleId="PodtytulArial14Znak">
    <w:name w:val="Podtytul Arial 14 Znak"/>
    <w:basedOn w:val="TytulArial20Znak"/>
    <w:link w:val="PodtytulArial14"/>
    <w:rsid w:val="00210A25"/>
    <w:rPr>
      <w:rFonts w:ascii="Arial" w:eastAsia="Times New Roman" w:hAnsi="Arial" w:cs="Arial"/>
      <w:b/>
      <w:bCs/>
      <w:color w:val="92D050"/>
      <w:sz w:val="28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10A25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0A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0A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0A25"/>
    <w:rPr>
      <w:vertAlign w:val="superscript"/>
    </w:rPr>
  </w:style>
  <w:style w:type="paragraph" w:customStyle="1" w:styleId="StronaTytuowaCopyright">
    <w:name w:val="Strona Tytułowa Copyright"/>
    <w:basedOn w:val="Normalny"/>
    <w:qFormat/>
    <w:rsid w:val="00210A25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21" Type="http://schemas.openxmlformats.org/officeDocument/2006/relationships/oleObject" Target="embeddings/oleObject8.bin"/><Relationship Id="rId34" Type="http://schemas.openxmlformats.org/officeDocument/2006/relationships/image" Target="media/image14.wmf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oleObject" Target="embeddings/oleObject16.bin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5.bin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header" Target="header1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8" Type="http://schemas.openxmlformats.org/officeDocument/2006/relationships/image" Target="media/image3.wmf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1971</Words>
  <Characters>11829</Characters>
  <Application>Microsoft Office Word</Application>
  <DocSecurity>0</DocSecurity>
  <Lines>98</Lines>
  <Paragraphs>27</Paragraphs>
  <ScaleCrop>false</ScaleCrop>
  <Company/>
  <LinksUpToDate>false</LinksUpToDate>
  <CharactersWithSpaces>13773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1</cp:revision>
  <dcterms:created xsi:type="dcterms:W3CDTF">2026-09-20T20:54:00Z</dcterms:created>
  <dcterms:modified xsi:type="dcterms:W3CDTF">2026-09-20T20:56:00Z</dcterms:modified>
</cp:coreProperties>
</file>