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36E9" w:rsidRDefault="007536E9" w:rsidP="007536E9">
      <w:pPr>
        <w:pStyle w:val="StronaTytuowaTytu"/>
        <w:spacing w:line="120" w:lineRule="atLeast"/>
      </w:pPr>
    </w:p>
    <w:p w:rsidR="007536E9" w:rsidRDefault="007536E9" w:rsidP="007536E9">
      <w:pPr>
        <w:pStyle w:val="StronaTytuowaTytu"/>
        <w:spacing w:line="120" w:lineRule="atLeast"/>
      </w:pPr>
    </w:p>
    <w:p w:rsidR="007536E9" w:rsidRPr="00B67F21" w:rsidRDefault="007536E9" w:rsidP="007536E9">
      <w:pPr>
        <w:pStyle w:val="StronaTytuowaTytu"/>
        <w:spacing w:line="120" w:lineRule="atLeast"/>
      </w:pPr>
      <w:proofErr w:type="spellStart"/>
      <w:r w:rsidRPr="00405677">
        <w:t>MATeMAtyka</w:t>
      </w:r>
      <w:proofErr w:type="spellEnd"/>
      <w:r w:rsidRPr="00B67F21">
        <w:t xml:space="preserve"> 1</w:t>
      </w:r>
    </w:p>
    <w:p w:rsidR="007536E9" w:rsidRDefault="007536E9" w:rsidP="007536E9">
      <w:pPr>
        <w:pStyle w:val="StronaTytuowaTytu"/>
        <w:spacing w:line="120" w:lineRule="atLeast"/>
      </w:pPr>
      <w:r w:rsidRPr="00B67F21">
        <w:t>Zakres podstawowy</w:t>
      </w:r>
    </w:p>
    <w:p w:rsidR="007536E9" w:rsidRPr="007536E9" w:rsidRDefault="007536E9" w:rsidP="007536E9">
      <w:pPr>
        <w:pStyle w:val="StronaTytuowaAutorzy"/>
        <w:rPr>
          <w:sz w:val="18"/>
        </w:rPr>
      </w:pPr>
      <w:r w:rsidRPr="007536E9">
        <w:rPr>
          <w:sz w:val="18"/>
        </w:rPr>
        <w:t>Agnieszka Kamińska</w:t>
      </w:r>
    </w:p>
    <w:p w:rsidR="007536E9" w:rsidRPr="007536E9" w:rsidRDefault="007536E9" w:rsidP="007536E9">
      <w:pPr>
        <w:pStyle w:val="StronaTytuowaAutorzy"/>
        <w:rPr>
          <w:sz w:val="18"/>
        </w:rPr>
      </w:pPr>
      <w:r w:rsidRPr="007536E9">
        <w:rPr>
          <w:sz w:val="18"/>
        </w:rPr>
        <w:t xml:space="preserve">Dorota </w:t>
      </w:r>
      <w:proofErr w:type="spellStart"/>
      <w:r w:rsidRPr="007536E9">
        <w:rPr>
          <w:sz w:val="18"/>
        </w:rPr>
        <w:t>Ponczek</w:t>
      </w:r>
      <w:proofErr w:type="spellEnd"/>
    </w:p>
    <w:p w:rsidR="007536E9" w:rsidRPr="00B67F21" w:rsidRDefault="007536E9" w:rsidP="007536E9">
      <w:pPr>
        <w:pStyle w:val="StronaTytuowaTytu"/>
        <w:spacing w:line="120" w:lineRule="atLeast"/>
      </w:pPr>
    </w:p>
    <w:p w:rsidR="007536E9" w:rsidRPr="00BC2821" w:rsidRDefault="007536E9" w:rsidP="007536E9">
      <w:pPr>
        <w:pStyle w:val="TytulArial20"/>
        <w:spacing w:line="120" w:lineRule="atLeast"/>
        <w:jc w:val="right"/>
        <w:rPr>
          <w:rFonts w:asciiTheme="majorHAnsi" w:hAnsiTheme="majorHAnsi"/>
          <w:sz w:val="22"/>
          <w:szCs w:val="22"/>
        </w:rPr>
      </w:pPr>
    </w:p>
    <w:p w:rsidR="007536E9" w:rsidRDefault="007536E9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7536E9" w:rsidRPr="00BC2821" w:rsidRDefault="007536E9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7536E9" w:rsidRDefault="007536E9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312725" w:rsidRDefault="00312725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312725" w:rsidRDefault="00312725" w:rsidP="007536E9">
      <w:pPr>
        <w:spacing w:line="120" w:lineRule="atLeast"/>
        <w:rPr>
          <w:rFonts w:asciiTheme="majorHAnsi" w:hAnsiTheme="majorHAnsi"/>
          <w:sz w:val="22"/>
          <w:szCs w:val="22"/>
        </w:rPr>
      </w:pPr>
      <w:bookmarkStart w:id="0" w:name="_GoBack"/>
      <w:bookmarkEnd w:id="0"/>
    </w:p>
    <w:p w:rsidR="007536E9" w:rsidRDefault="007536E9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7536E9" w:rsidRDefault="007536E9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7536E9" w:rsidRDefault="007536E9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7536E9" w:rsidRPr="00BC2821" w:rsidRDefault="007536E9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7536E9" w:rsidRDefault="007536E9" w:rsidP="007536E9">
      <w:pPr>
        <w:pStyle w:val="StronaTytuowaCopyright"/>
        <w:spacing w:line="120" w:lineRule="atLeast"/>
        <w:rPr>
          <w:rFonts w:asciiTheme="majorHAnsi" w:hAnsiTheme="majorHAnsi"/>
          <w:sz w:val="22"/>
          <w:szCs w:val="22"/>
        </w:rPr>
      </w:pPr>
      <w:r w:rsidRPr="00437050">
        <w:rPr>
          <w:rFonts w:asciiTheme="majorHAnsi" w:hAnsiTheme="majorHAnsi"/>
          <w:noProof/>
          <w:sz w:val="22"/>
          <w:szCs w:val="22"/>
          <w:lang w:eastAsia="pl-PL"/>
        </w:rPr>
        <w:drawing>
          <wp:inline distT="0" distB="0" distL="0" distR="0" wp14:anchorId="721A97DB" wp14:editId="0140A20D">
            <wp:extent cx="870585" cy="584200"/>
            <wp:effectExtent l="0" t="0" r="5715" b="6350"/>
            <wp:docPr id="9" name="Obraz 1" descr="logoN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E_rg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6E9" w:rsidRDefault="007536E9" w:rsidP="007536E9">
      <w:pPr>
        <w:pStyle w:val="StronaTytuowaCopyright"/>
        <w:spacing w:line="120" w:lineRule="atLeast"/>
        <w:rPr>
          <w:rFonts w:asciiTheme="majorHAnsi" w:hAnsiTheme="majorHAnsi"/>
          <w:sz w:val="22"/>
          <w:szCs w:val="22"/>
        </w:rPr>
      </w:pPr>
    </w:p>
    <w:p w:rsidR="007536E9" w:rsidRPr="00437050" w:rsidRDefault="007536E9" w:rsidP="007536E9">
      <w:pPr>
        <w:pStyle w:val="StronaTytuowaCopyright"/>
        <w:spacing w:line="120" w:lineRule="atLeast"/>
        <w:rPr>
          <w:rFonts w:asciiTheme="majorHAnsi" w:hAnsiTheme="majorHAnsi"/>
          <w:sz w:val="22"/>
          <w:szCs w:val="22"/>
        </w:rPr>
      </w:pPr>
      <w:r w:rsidRPr="00437050">
        <w:rPr>
          <w:rFonts w:asciiTheme="majorHAnsi" w:hAnsiTheme="majorHAnsi"/>
          <w:sz w:val="22"/>
          <w:szCs w:val="22"/>
        </w:rPr>
        <w:t>© Copyright by Nowa Era Sp. z o.o.</w:t>
      </w:r>
    </w:p>
    <w:p w:rsidR="007536E9" w:rsidRDefault="007536E9" w:rsidP="007536E9">
      <w:pPr>
        <w:spacing w:line="120" w:lineRule="atLeast"/>
        <w:jc w:val="center"/>
        <w:rPr>
          <w:rFonts w:asciiTheme="majorHAnsi" w:hAnsiTheme="majorHAnsi"/>
          <w:sz w:val="22"/>
          <w:szCs w:val="22"/>
        </w:rPr>
      </w:pPr>
      <w:r w:rsidRPr="00437050">
        <w:rPr>
          <w:rFonts w:asciiTheme="majorHAnsi" w:eastAsia="Calibri" w:hAnsiTheme="majorHAnsi"/>
          <w:iCs/>
          <w:color w:val="000000"/>
          <w:sz w:val="22"/>
          <w:szCs w:val="22"/>
          <w:lang w:eastAsia="en-US"/>
        </w:rPr>
        <w:t>Warszawa 20</w:t>
      </w:r>
      <w:r>
        <w:rPr>
          <w:rFonts w:asciiTheme="majorHAnsi" w:eastAsia="Calibri" w:hAnsiTheme="majorHAnsi"/>
          <w:iCs/>
          <w:color w:val="000000"/>
          <w:sz w:val="22"/>
          <w:szCs w:val="22"/>
          <w:lang w:eastAsia="en-US"/>
        </w:rPr>
        <w:t>24</w:t>
      </w:r>
    </w:p>
    <w:p w:rsidR="007536E9" w:rsidRDefault="007536E9" w:rsidP="007536E9">
      <w:pPr>
        <w:tabs>
          <w:tab w:val="left" w:pos="1945"/>
        </w:tabs>
        <w:spacing w:line="120" w:lineRule="atLeast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</w:p>
    <w:p w:rsidR="007536E9" w:rsidRPr="00BC2821" w:rsidRDefault="007536E9" w:rsidP="007536E9">
      <w:pPr>
        <w:spacing w:line="120" w:lineRule="atLeast"/>
        <w:jc w:val="center"/>
        <w:rPr>
          <w:rFonts w:asciiTheme="majorHAnsi" w:hAnsiTheme="majorHAnsi"/>
          <w:sz w:val="22"/>
          <w:szCs w:val="22"/>
        </w:rPr>
      </w:pPr>
      <w:r w:rsidRPr="00BC2821">
        <w:rPr>
          <w:rFonts w:asciiTheme="majorHAnsi" w:hAnsiTheme="majorHAnsi"/>
          <w:sz w:val="22"/>
          <w:szCs w:val="22"/>
        </w:rPr>
        <w:lastRenderedPageBreak/>
        <w:t>Oznaczenia:</w:t>
      </w:r>
    </w:p>
    <w:p w:rsidR="007536E9" w:rsidRPr="00BC2821" w:rsidRDefault="007536E9" w:rsidP="007536E9">
      <w:pPr>
        <w:pStyle w:val="Lista"/>
        <w:spacing w:line="120" w:lineRule="atLeast"/>
        <w:rPr>
          <w:rFonts w:asciiTheme="majorHAnsi" w:hAnsiTheme="majorHAnsi"/>
          <w:bCs/>
          <w:sz w:val="22"/>
          <w:szCs w:val="22"/>
        </w:rPr>
      </w:pPr>
      <w:r w:rsidRPr="00BC2821">
        <w:rPr>
          <w:rFonts w:asciiTheme="majorHAnsi" w:hAnsiTheme="majorHAnsi"/>
          <w:sz w:val="22"/>
          <w:szCs w:val="22"/>
        </w:rPr>
        <w:t>K – wymagania konieczne, P – wymagania podstawowe, R – wymagania rozszerzające, D – wymagania dopełniające, W – wymagania wykraczające</w:t>
      </w:r>
    </w:p>
    <w:p w:rsidR="007536E9" w:rsidRPr="00BC2821" w:rsidRDefault="007536E9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0"/>
        <w:gridCol w:w="54"/>
        <w:gridCol w:w="3666"/>
        <w:gridCol w:w="19"/>
        <w:gridCol w:w="6734"/>
        <w:gridCol w:w="1134"/>
      </w:tblGrid>
      <w:tr w:rsidR="007536E9" w:rsidRPr="00BC2821" w:rsidTr="007536E9">
        <w:trPr>
          <w:cantSplit/>
          <w:trHeight w:val="158"/>
          <w:tblHeader/>
        </w:trPr>
        <w:tc>
          <w:tcPr>
            <w:tcW w:w="2764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napToGrid w:val="0"/>
                <w:sz w:val="22"/>
                <w:szCs w:val="22"/>
              </w:rPr>
              <w:t>Temat lekcji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Zakres treści</w:t>
            </w:r>
          </w:p>
        </w:tc>
        <w:tc>
          <w:tcPr>
            <w:tcW w:w="6734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Osiągnięcia ucznia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Poziom wymagań</w:t>
            </w:r>
          </w:p>
        </w:tc>
      </w:tr>
      <w:tr w:rsidR="007536E9" w:rsidRPr="00BC2821" w:rsidTr="007536E9">
        <w:trPr>
          <w:cantSplit/>
        </w:trPr>
        <w:tc>
          <w:tcPr>
            <w:tcW w:w="14317" w:type="dxa"/>
            <w:gridSpan w:val="6"/>
            <w:tcBorders>
              <w:top w:val="nil"/>
            </w:tcBorders>
            <w:shd w:val="clear" w:color="auto" w:fill="D9D9D9" w:themeFill="background1" w:themeFillShade="D9"/>
          </w:tcPr>
          <w:p w:rsidR="007536E9" w:rsidRPr="009C47B5" w:rsidRDefault="007536E9" w:rsidP="00500526">
            <w:pPr>
              <w:spacing w:line="120" w:lineRule="atLeast"/>
              <w:rPr>
                <w:rFonts w:asciiTheme="majorHAnsi" w:hAnsiTheme="majorHAnsi"/>
              </w:rPr>
            </w:pPr>
            <w:r w:rsidRPr="009C47B5">
              <w:rPr>
                <w:rFonts w:asciiTheme="majorHAnsi" w:hAnsiTheme="majorHAnsi"/>
                <w:b/>
              </w:rPr>
              <w:t>1. LICZBY RZECZYWISTE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  <w:tcBorders>
              <w:top w:val="nil"/>
            </w:tcBorders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b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1. Liczby naturalne</w:t>
            </w:r>
          </w:p>
        </w:tc>
        <w:tc>
          <w:tcPr>
            <w:tcW w:w="3685" w:type="dxa"/>
            <w:gridSpan w:val="2"/>
            <w:tcBorders>
              <w:top w:val="nil"/>
            </w:tcBorders>
          </w:tcPr>
          <w:p w:rsidR="007536E9" w:rsidRPr="00BC2821" w:rsidRDefault="007536E9" w:rsidP="00500526">
            <w:pPr>
              <w:numPr>
                <w:ilvl w:val="0"/>
                <w:numId w:val="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dzielnika liczby naturalnej</w:t>
            </w:r>
          </w:p>
          <w:p w:rsidR="007536E9" w:rsidRPr="00BC2821" w:rsidRDefault="007536E9" w:rsidP="00500526">
            <w:pPr>
              <w:numPr>
                <w:ilvl w:val="0"/>
                <w:numId w:val="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liczby pierwszej</w:t>
            </w:r>
          </w:p>
          <w:p w:rsidR="007536E9" w:rsidRPr="00BC2821" w:rsidRDefault="007536E9" w:rsidP="00500526">
            <w:pPr>
              <w:numPr>
                <w:ilvl w:val="0"/>
                <w:numId w:val="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cechy podzielności liczb naturalnych</w:t>
            </w:r>
          </w:p>
          <w:p w:rsidR="007536E9" w:rsidRPr="00BC2821" w:rsidRDefault="007536E9" w:rsidP="00500526">
            <w:pPr>
              <w:numPr>
                <w:ilvl w:val="0"/>
                <w:numId w:val="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definicja liczby parzystej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i nieparzystej</w:t>
            </w:r>
          </w:p>
          <w:p w:rsidR="007536E9" w:rsidRPr="00BC2821" w:rsidRDefault="007536E9" w:rsidP="00500526">
            <w:pPr>
              <w:numPr>
                <w:ilvl w:val="0"/>
                <w:numId w:val="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rozkład liczby naturalnej na czynniki pierwsze</w:t>
            </w:r>
          </w:p>
          <w:p w:rsidR="007536E9" w:rsidRPr="00BC2821" w:rsidRDefault="007536E9" w:rsidP="00500526">
            <w:pPr>
              <w:numPr>
                <w:ilvl w:val="0"/>
                <w:numId w:val="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znajdowanie NWD i NWW</w:t>
            </w:r>
          </w:p>
          <w:p w:rsidR="007536E9" w:rsidRPr="00BC2821" w:rsidRDefault="007536E9" w:rsidP="00500526">
            <w:pPr>
              <w:numPr>
                <w:ilvl w:val="0"/>
                <w:numId w:val="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twierdzenie o rozkładzie liczby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naturalnej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na czynniki pierwsze</w:t>
            </w:r>
          </w:p>
        </w:tc>
        <w:tc>
          <w:tcPr>
            <w:tcW w:w="6734" w:type="dxa"/>
            <w:tcBorders>
              <w:top w:val="nil"/>
            </w:tcBorders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Uczeń: </w:t>
            </w:r>
          </w:p>
          <w:p w:rsidR="007536E9" w:rsidRPr="00BC2821" w:rsidRDefault="007536E9" w:rsidP="00500526">
            <w:pPr>
              <w:numPr>
                <w:ilvl w:val="0"/>
                <w:numId w:val="3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przykłady liczb pierwszych, liczb parzystych i nieparzystych</w:t>
            </w:r>
          </w:p>
          <w:p w:rsidR="007536E9" w:rsidRPr="00BC2821" w:rsidRDefault="007536E9" w:rsidP="00500526">
            <w:pPr>
              <w:numPr>
                <w:ilvl w:val="0"/>
                <w:numId w:val="3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dzielniki danej liczby naturalnej</w:t>
            </w:r>
          </w:p>
          <w:p w:rsidR="007536E9" w:rsidRPr="00BC2821" w:rsidRDefault="007536E9" w:rsidP="00500526">
            <w:pPr>
              <w:numPr>
                <w:ilvl w:val="0"/>
                <w:numId w:val="3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przedstawia liczbę naturalną w postaci iloczynu liczb pierwszych</w:t>
            </w:r>
          </w:p>
          <w:p w:rsidR="007536E9" w:rsidRDefault="007536E9" w:rsidP="00500526">
            <w:pPr>
              <w:numPr>
                <w:ilvl w:val="0"/>
                <w:numId w:val="3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 NWD i NWW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7536E9" w:rsidRPr="00BA1502" w:rsidRDefault="007536E9" w:rsidP="00500526">
            <w:pPr>
              <w:numPr>
                <w:ilvl w:val="0"/>
                <w:numId w:val="3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  <w:highlight w:val="yellow"/>
              </w:rPr>
            </w:pPr>
            <w:r w:rsidRPr="00BA1502">
              <w:rPr>
                <w:rFonts w:asciiTheme="majorHAnsi" w:hAnsiTheme="majorHAnsi"/>
                <w:sz w:val="22"/>
                <w:szCs w:val="22"/>
                <w:highlight w:val="yellow"/>
              </w:rPr>
              <w:t>zapisuje symbolicznie liczby naturalne korzystając z informacji o ich podzielności lub reszcie z dzielenia przez dana liczbę</w:t>
            </w:r>
            <w:r>
              <w:rPr>
                <w:rFonts w:asciiTheme="majorHAnsi" w:hAnsiTheme="majorHAnsi"/>
                <w:sz w:val="22"/>
                <w:szCs w:val="22"/>
                <w:highlight w:val="yellow"/>
              </w:rPr>
              <w:t xml:space="preserve"> naturalną</w:t>
            </w:r>
          </w:p>
          <w:p w:rsidR="007536E9" w:rsidRPr="00BC2821" w:rsidRDefault="007536E9" w:rsidP="00500526">
            <w:pPr>
              <w:numPr>
                <w:ilvl w:val="0"/>
                <w:numId w:val="3"/>
              </w:numPr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przeprowadza proste dowody dotyczące podzielności liczb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i reszt z dzielenia</w:t>
            </w:r>
          </w:p>
        </w:tc>
        <w:tc>
          <w:tcPr>
            <w:tcW w:w="1134" w:type="dxa"/>
            <w:tcBorders>
              <w:top w:val="nil"/>
            </w:tcBorders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</w:p>
          <w:p w:rsidR="007536E9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D–W 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2. Liczby całkowite. Liczby wymierne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4"/>
              </w:num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liczby całkowitej</w:t>
            </w:r>
          </w:p>
          <w:p w:rsidR="007536E9" w:rsidRPr="00CD1E8A" w:rsidRDefault="007536E9" w:rsidP="00500526">
            <w:pPr>
              <w:numPr>
                <w:ilvl w:val="0"/>
                <w:numId w:val="4"/>
              </w:num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liczby wymiernej</w:t>
            </w:r>
          </w:p>
          <w:p w:rsidR="007536E9" w:rsidRPr="00BC2821" w:rsidRDefault="007536E9" w:rsidP="00500526">
            <w:pPr>
              <w:numPr>
                <w:ilvl w:val="0"/>
                <w:numId w:val="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pojęcia liczby przeciwnej i odwrotnej</w:t>
            </w:r>
          </w:p>
          <w:p w:rsidR="007536E9" w:rsidRPr="00BC2821" w:rsidRDefault="007536E9" w:rsidP="00500526">
            <w:pPr>
              <w:numPr>
                <w:ilvl w:val="0"/>
                <w:numId w:val="4"/>
              </w:num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oś liczbowa</w:t>
            </w:r>
          </w:p>
          <w:p w:rsidR="007536E9" w:rsidRDefault="007536E9" w:rsidP="00500526">
            <w:pPr>
              <w:numPr>
                <w:ilvl w:val="0"/>
                <w:numId w:val="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działania na liczbach wymiernych</w:t>
            </w:r>
          </w:p>
          <w:p w:rsidR="007536E9" w:rsidRPr="00BC2821" w:rsidRDefault="007536E9" w:rsidP="00500526">
            <w:pPr>
              <w:numPr>
                <w:ilvl w:val="0"/>
                <w:numId w:val="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kolejność wykonywania działań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Default="007536E9" w:rsidP="00500526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rozpoznaje liczby całkowite i liczby wymierne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wśród podanych liczb</w:t>
            </w:r>
          </w:p>
          <w:p w:rsidR="007536E9" w:rsidRPr="00BC2821" w:rsidRDefault="007536E9" w:rsidP="00500526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podaje liczbę przeciwną oraz odwrotną do danej liczby</w:t>
            </w:r>
          </w:p>
          <w:p w:rsidR="007536E9" w:rsidRPr="00BC2821" w:rsidRDefault="007536E9" w:rsidP="00500526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przykłady liczb całkowitych i wymiernych</w:t>
            </w:r>
          </w:p>
          <w:p w:rsidR="007536E9" w:rsidRPr="00BC2821" w:rsidRDefault="007536E9" w:rsidP="00500526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odczytuje z osi liczbowej współrzędną danego punktu i odwrotnie: zaznacza punkt o podanej współrzędnej na osi liczbowej</w:t>
            </w:r>
          </w:p>
          <w:p w:rsidR="007536E9" w:rsidRDefault="007536E9" w:rsidP="00500526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wykonuje działania na liczbach wymiernych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7536E9" w:rsidRPr="00BC2821" w:rsidRDefault="007536E9" w:rsidP="00500526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porównuje liczby wymierne</w:t>
            </w:r>
          </w:p>
        </w:tc>
        <w:tc>
          <w:tcPr>
            <w:tcW w:w="1134" w:type="dxa"/>
            <w:tcBorders>
              <w:top w:val="nil"/>
            </w:tcBorders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–P</w:t>
            </w:r>
          </w:p>
          <w:p w:rsidR="007536E9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K–P</w:t>
            </w: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 xml:space="preserve">K–P 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lastRenderedPageBreak/>
              <w:t>3. Liczby niewymierne</w:t>
            </w:r>
          </w:p>
        </w:tc>
        <w:tc>
          <w:tcPr>
            <w:tcW w:w="3685" w:type="dxa"/>
            <w:gridSpan w:val="2"/>
          </w:tcPr>
          <w:p w:rsidR="007536E9" w:rsidRDefault="007536E9" w:rsidP="00500526">
            <w:pPr>
              <w:numPr>
                <w:ilvl w:val="0"/>
                <w:numId w:val="6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liczby niewymiernej</w:t>
            </w:r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liczb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rzeczywistych</w:t>
            </w:r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rPr>
                <w:rFonts w:asciiTheme="majorHAnsi" w:hAnsiTheme="majorHAnsi"/>
                <w:b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konstruowanie odcinków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o długościach niewymiernych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wskazuje liczby niewymierne wśród podanych liczb</w:t>
            </w:r>
          </w:p>
          <w:p w:rsidR="007536E9" w:rsidRPr="00BC2821" w:rsidRDefault="007536E9" w:rsidP="00500526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konstruuje odcinki o długościach niewymiernych</w:t>
            </w:r>
          </w:p>
          <w:p w:rsidR="007536E9" w:rsidRPr="00BC2821" w:rsidRDefault="007536E9" w:rsidP="00500526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zaznacza na osi liczbowej punkt odpowiadający liczbie niewymiernej</w:t>
            </w:r>
          </w:p>
          <w:p w:rsidR="007536E9" w:rsidRPr="00BC2821" w:rsidRDefault="007536E9" w:rsidP="00500526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wykazuje, dobierając odpowiednio przykłady, że suma, różnica, iloczyn oraz iloraz liczb niewymiernych nie mus</w:t>
            </w:r>
            <w:r>
              <w:rPr>
                <w:rFonts w:asciiTheme="majorHAnsi" w:hAnsiTheme="majorHAnsi"/>
                <w:sz w:val="22"/>
                <w:szCs w:val="22"/>
              </w:rPr>
              <w:t>zą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być liczb</w:t>
            </w:r>
            <w:r>
              <w:rPr>
                <w:rFonts w:asciiTheme="majorHAnsi" w:hAnsiTheme="majorHAnsi"/>
                <w:sz w:val="22"/>
                <w:szCs w:val="22"/>
              </w:rPr>
              <w:t>ami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niewymiern</w:t>
            </w:r>
            <w:r>
              <w:rPr>
                <w:rFonts w:asciiTheme="majorHAnsi" w:hAnsiTheme="majorHAnsi"/>
                <w:sz w:val="22"/>
                <w:szCs w:val="22"/>
              </w:rPr>
              <w:t>ymi</w:t>
            </w:r>
          </w:p>
          <w:p w:rsidR="007536E9" w:rsidRDefault="007536E9" w:rsidP="00500526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szacuje wartości liczb niewymiernych </w:t>
            </w:r>
          </w:p>
          <w:p w:rsidR="007536E9" w:rsidRDefault="007536E9" w:rsidP="00500526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stosuje liczby niewymierne do obliczania długości odcinków w wielokątach i przekątnej prostopadłościanu</w:t>
            </w:r>
          </w:p>
          <w:p w:rsidR="007536E9" w:rsidRPr="00BC2821" w:rsidRDefault="007536E9" w:rsidP="00500526">
            <w:pPr>
              <w:numPr>
                <w:ilvl w:val="0"/>
                <w:numId w:val="7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bCs/>
                <w:sz w:val="22"/>
                <w:szCs w:val="22"/>
              </w:rPr>
              <w:t>dowodzi niewymierności liczb,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np.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e>
              </m:rad>
              <m:r>
                <w:rPr>
                  <w:rFonts w:ascii="Cambria Math" w:hAnsi="Cambria Math"/>
                  <w:sz w:val="22"/>
                  <w:szCs w:val="22"/>
                </w:rPr>
                <m:t xml:space="preserve">, 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e>
              </m:rad>
            </m:oMath>
            <w:r w:rsidRPr="00DE7413">
              <w:rPr>
                <w:rFonts w:asciiTheme="majorHAnsi" w:hAnsiTheme="majorHAnsi"/>
                <w:sz w:val="22"/>
                <w:szCs w:val="22"/>
              </w:rPr>
              <w:t xml:space="preserve"> oraz liczb będących iloczynem lub sumą liczby wymiernej i niewymiernej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</w:t>
            </w:r>
            <w:r>
              <w:rPr>
                <w:rFonts w:asciiTheme="majorHAnsi" w:hAnsiTheme="majorHAnsi"/>
                <w:sz w:val="22"/>
                <w:szCs w:val="22"/>
              </w:rPr>
              <w:t>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7536E9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–D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W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4. Rozwinięcie dziesiętne liczby rzeczywistej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postać dziesiętna liczby rzeczywistej</w:t>
            </w:r>
          </w:p>
          <w:p w:rsidR="007536E9" w:rsidRPr="00BC2821" w:rsidRDefault="007536E9" w:rsidP="00500526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metoda przedstawiania ułamków zwykłych w postaci dziesiętnej</w:t>
            </w:r>
          </w:p>
          <w:p w:rsidR="007536E9" w:rsidRPr="00BC2821" w:rsidRDefault="007536E9" w:rsidP="00500526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metoda przedstawiania ułamków dziesiętnych w postaci ułamków zwykłych</w:t>
            </w:r>
          </w:p>
          <w:p w:rsidR="007536E9" w:rsidRPr="00BC2821" w:rsidRDefault="007536E9" w:rsidP="00500526">
            <w:pPr>
              <w:numPr>
                <w:ilvl w:val="0"/>
                <w:numId w:val="1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reguła zaokrąglania</w:t>
            </w:r>
          </w:p>
          <w:p w:rsidR="007536E9" w:rsidRPr="002D0EC5" w:rsidRDefault="007536E9" w:rsidP="00500526">
            <w:pPr>
              <w:numPr>
                <w:ilvl w:val="0"/>
                <w:numId w:val="1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przybliżanie z nadmiarem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i z niedomiarem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wskazuje liczby wymierne oraz niewymierne</w:t>
            </w:r>
          </w:p>
          <w:p w:rsidR="007536E9" w:rsidRPr="00BC2821" w:rsidRDefault="007536E9" w:rsidP="00500526">
            <w:pPr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wśród liczb podanych w postaci dziesiętnej </w:t>
            </w:r>
          </w:p>
          <w:p w:rsidR="007536E9" w:rsidRPr="00BC2821" w:rsidRDefault="007536E9" w:rsidP="00500526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rozwinięci</w:t>
            </w:r>
            <w:r>
              <w:rPr>
                <w:rFonts w:asciiTheme="majorHAnsi" w:hAnsiTheme="majorHAnsi"/>
                <w:sz w:val="22"/>
                <w:szCs w:val="22"/>
              </w:rPr>
              <w:t>a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dziesiętne ułamków zwykłych</w:t>
            </w:r>
          </w:p>
          <w:p w:rsidR="007536E9" w:rsidRPr="00BC2821" w:rsidRDefault="007536E9" w:rsidP="00500526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wskazaną cyfrę po przecinku w rozwinięciu dziesiętnym okresowym danej liczby</w:t>
            </w:r>
          </w:p>
          <w:p w:rsidR="007536E9" w:rsidRPr="00BC2821" w:rsidRDefault="007536E9" w:rsidP="00500526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zamienia skończone rozwinięcia dziesiętne na ułamki zwykłe</w:t>
            </w:r>
          </w:p>
          <w:p w:rsidR="007536E9" w:rsidRPr="00BC2821" w:rsidRDefault="007536E9" w:rsidP="00500526">
            <w:pPr>
              <w:numPr>
                <w:ilvl w:val="0"/>
                <w:numId w:val="1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przedstawia ułamki dziesiętne okresowe w postaci ułamków zwykłych</w:t>
            </w:r>
          </w:p>
          <w:p w:rsidR="007536E9" w:rsidRPr="00BC2821" w:rsidRDefault="007536E9" w:rsidP="00500526">
            <w:pPr>
              <w:numPr>
                <w:ilvl w:val="0"/>
                <w:numId w:val="1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zaokrągla liczbę z podaną dokładnością</w:t>
            </w:r>
          </w:p>
          <w:p w:rsidR="007536E9" w:rsidRPr="00BC2821" w:rsidRDefault="007536E9" w:rsidP="00500526">
            <w:pPr>
              <w:numPr>
                <w:ilvl w:val="0"/>
                <w:numId w:val="1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</w:t>
            </w:r>
            <w:r>
              <w:rPr>
                <w:rFonts w:asciiTheme="majorHAnsi" w:hAnsiTheme="majorHAnsi"/>
                <w:sz w:val="22"/>
                <w:szCs w:val="22"/>
              </w:rPr>
              <w:t>kreśla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, czy 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przybliżenie danej liczby jest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z nadmiarem czy z niedomiarem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R – D 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lastRenderedPageBreak/>
              <w:t>5. Pierwiastek kwadratowy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pierwiastka kwadratowego z liczby nieujemnej</w:t>
            </w:r>
          </w:p>
          <w:p w:rsidR="007536E9" w:rsidRPr="00BC2821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działania na pierwiastkach kwadratowych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 wartość pierwiastka kwadratowego z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liczby nieujemnej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szacuje wartość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pierwiastka kwadratowego z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liczby nieujemnej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wyłącza czynnik przed pierwiast</w:t>
            </w:r>
            <w:r>
              <w:rPr>
                <w:rFonts w:asciiTheme="majorHAnsi" w:hAnsiTheme="majorHAnsi"/>
                <w:sz w:val="22"/>
                <w:szCs w:val="22"/>
              </w:rPr>
              <w:t>ek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kwadratow</w:t>
            </w:r>
            <w:r>
              <w:rPr>
                <w:rFonts w:asciiTheme="majorHAnsi" w:hAnsiTheme="majorHAnsi"/>
                <w:sz w:val="22"/>
                <w:szCs w:val="22"/>
              </w:rPr>
              <w:t>y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włącza czynnik pod pierwiast</w:t>
            </w:r>
            <w:r>
              <w:rPr>
                <w:rFonts w:asciiTheme="majorHAnsi" w:hAnsiTheme="majorHAnsi"/>
                <w:sz w:val="22"/>
                <w:szCs w:val="22"/>
              </w:rPr>
              <w:t>ek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kwadratow</w:t>
            </w:r>
            <w:r>
              <w:rPr>
                <w:rFonts w:asciiTheme="majorHAnsi" w:hAnsiTheme="majorHAnsi"/>
                <w:sz w:val="22"/>
                <w:szCs w:val="22"/>
              </w:rPr>
              <w:t>y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wartości wyrażeń arytmetycznych zawierających pierwiastki kwadratowe, stosując prawa działań na pierwiastkach</w:t>
            </w:r>
          </w:p>
          <w:p w:rsidR="007536E9" w:rsidRPr="00194542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usuwa niewymierność z mianownika, gdy w mianowniku występuje wyrażenie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b</m:t>
                  </m:r>
                </m:e>
              </m:rad>
            </m:oMath>
            <w:r>
              <w:rPr>
                <w:rFonts w:asciiTheme="majorHAnsi" w:hAnsiTheme="majorHAnsi"/>
                <w:sz w:val="22"/>
                <w:szCs w:val="22"/>
              </w:rPr>
              <w:t>,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oraz szacuje przybliżoną wartość takich wyrażeń</w:t>
            </w:r>
          </w:p>
        </w:tc>
        <w:tc>
          <w:tcPr>
            <w:tcW w:w="1134" w:type="dxa"/>
          </w:tcPr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074FB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074FB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  <w:r w:rsidRPr="00074FB1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Pr="00074FB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  <w:r w:rsidRPr="00074FB1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–R</w:t>
            </w:r>
          </w:p>
        </w:tc>
      </w:tr>
      <w:tr w:rsidR="007536E9" w:rsidRPr="00BC2821" w:rsidTr="007536E9">
        <w:trPr>
          <w:cantSplit/>
          <w:trHeight w:val="2851"/>
        </w:trPr>
        <w:tc>
          <w:tcPr>
            <w:tcW w:w="2764" w:type="dxa"/>
            <w:gridSpan w:val="2"/>
          </w:tcPr>
          <w:p w:rsidR="007536E9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6. Pierwiastek sześcienny</w:t>
            </w:r>
            <w:r>
              <w:rPr>
                <w:rFonts w:asciiTheme="majorHAnsi" w:hAnsiTheme="majorHAnsi"/>
                <w:sz w:val="22"/>
                <w:szCs w:val="22"/>
              </w:rPr>
              <w:t>. Pierwiastek n-tego stopnia</w:t>
            </w:r>
          </w:p>
          <w:p w:rsidR="007536E9" w:rsidRPr="003F2378" w:rsidRDefault="007536E9" w:rsidP="00500526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3F2378" w:rsidRDefault="007536E9" w:rsidP="00500526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3F2378" w:rsidRDefault="007536E9" w:rsidP="00500526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3F2378" w:rsidRDefault="007536E9" w:rsidP="00500526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3F2378" w:rsidRDefault="007536E9" w:rsidP="00500526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3F2378" w:rsidRDefault="007536E9" w:rsidP="00500526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3F2378" w:rsidRDefault="007536E9" w:rsidP="00500526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3F2378" w:rsidRDefault="007536E9" w:rsidP="00500526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3F2378" w:rsidRDefault="007536E9" w:rsidP="0050052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pierwiastka trzeciego stopnia z liczby nieujemnej</w:t>
            </w:r>
          </w:p>
          <w:p w:rsidR="007536E9" w:rsidRPr="00BC2821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definicja pierwiastka stopnia parzystego i nieparzystego </w:t>
            </w:r>
          </w:p>
          <w:p w:rsidR="007536E9" w:rsidRPr="00BC2821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działania na pierwiastkach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 wartość pierwiastka trzeciego stopnia z liczby nieujemnej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oblicza wartość pierwiastka dowolnego stopnia 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wyłącza czynnik przed pierwiast</w:t>
            </w:r>
            <w:r>
              <w:rPr>
                <w:rFonts w:asciiTheme="majorHAnsi" w:hAnsiTheme="majorHAnsi"/>
                <w:sz w:val="22"/>
                <w:szCs w:val="22"/>
              </w:rPr>
              <w:t>ek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włącza czynnik pod pierwiast</w:t>
            </w:r>
            <w:r>
              <w:rPr>
                <w:rFonts w:asciiTheme="majorHAnsi" w:hAnsiTheme="majorHAnsi"/>
                <w:sz w:val="22"/>
                <w:szCs w:val="22"/>
              </w:rPr>
              <w:t>ek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porównuje liczby zapisane za pomocą pierwiastków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wartości wyrażeń arytmetycznych zawierających pierwiastki, stosując prawa działań na pierwiastkach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usuwa niewymierność z mianownika ułamka, gdy w mianowniku występuje 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2"/>
                      <w:szCs w:val="22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</m:rad>
            </m:oMath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6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803E56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7. Potęga o wykładniku naturalnym</w:t>
            </w:r>
          </w:p>
        </w:tc>
        <w:tc>
          <w:tcPr>
            <w:tcW w:w="3685" w:type="dxa"/>
            <w:gridSpan w:val="2"/>
          </w:tcPr>
          <w:p w:rsidR="007536E9" w:rsidRDefault="007536E9" w:rsidP="00500526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potęgi o wykładniku naturalnym</w:t>
            </w:r>
          </w:p>
          <w:p w:rsidR="007536E9" w:rsidRPr="00D23735" w:rsidRDefault="007536E9" w:rsidP="00500526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23735">
              <w:rPr>
                <w:rFonts w:asciiTheme="majorHAnsi" w:hAnsiTheme="majorHAnsi"/>
                <w:bCs/>
                <w:sz w:val="22"/>
                <w:szCs w:val="22"/>
              </w:rPr>
              <w:t>prawa działań na potęgach o wykładnikach naturalnym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1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oblicza wartość potęgi liczby o wykładniku naturalnym </w:t>
            </w:r>
          </w:p>
          <w:p w:rsidR="007536E9" w:rsidRPr="00BC2821" w:rsidRDefault="007536E9" w:rsidP="00500526">
            <w:pPr>
              <w:numPr>
                <w:ilvl w:val="0"/>
                <w:numId w:val="1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porządkuje liczby zapisane w postaci potęg, korzystając </w:t>
            </w:r>
          </w:p>
          <w:p w:rsidR="007536E9" w:rsidRPr="00BC2821" w:rsidRDefault="007536E9" w:rsidP="00500526">
            <w:pPr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 własności potęg</w:t>
            </w:r>
          </w:p>
          <w:p w:rsidR="007536E9" w:rsidRPr="00BC2821" w:rsidRDefault="007536E9" w:rsidP="00500526">
            <w:pPr>
              <w:numPr>
                <w:ilvl w:val="0"/>
                <w:numId w:val="1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prawa działań na potęgach do obliczania wartości wyrażeń</w:t>
            </w:r>
          </w:p>
          <w:p w:rsidR="007536E9" w:rsidRPr="00BC2821" w:rsidRDefault="007536E9" w:rsidP="00500526">
            <w:pPr>
              <w:numPr>
                <w:ilvl w:val="0"/>
                <w:numId w:val="1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porównuje liczby zapisane w postaci potęg</w:t>
            </w:r>
          </w:p>
        </w:tc>
        <w:tc>
          <w:tcPr>
            <w:tcW w:w="1134" w:type="dxa"/>
          </w:tcPr>
          <w:p w:rsidR="007536E9" w:rsidRDefault="007536E9" w:rsidP="00500526">
            <w:pPr>
              <w:spacing w:before="40"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>K</w:t>
            </w: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803E56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lastRenderedPageBreak/>
              <w:t>8. Potęga o wykładniku całkowitym. Notacja wykładnicza</w:t>
            </w:r>
          </w:p>
        </w:tc>
        <w:tc>
          <w:tcPr>
            <w:tcW w:w="3685" w:type="dxa"/>
            <w:gridSpan w:val="2"/>
          </w:tcPr>
          <w:p w:rsidR="007536E9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potęgi o wykładniku całkowitym ujemnym</w:t>
            </w:r>
          </w:p>
          <w:p w:rsidR="007536E9" w:rsidRPr="00D23735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23735">
              <w:rPr>
                <w:rFonts w:asciiTheme="majorHAnsi" w:hAnsiTheme="majorHAnsi"/>
                <w:bCs/>
                <w:sz w:val="22"/>
                <w:szCs w:val="22"/>
              </w:rPr>
              <w:t>prawa działań na potęgach o wykładnikach całkowitych</w:t>
            </w:r>
          </w:p>
          <w:p w:rsidR="007536E9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definicja notacji wykładniczej</w:t>
            </w:r>
          </w:p>
          <w:p w:rsidR="007536E9" w:rsidRPr="00DE7413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sposób zapisywania małych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i dużych liczb w notacji wykładniczej</w:t>
            </w:r>
          </w:p>
          <w:p w:rsidR="007536E9" w:rsidRPr="00803E56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działania na liczbach zapisanych</w:t>
            </w:r>
            <w:r w:rsidRPr="00DE7413">
              <w:rPr>
                <w:rFonts w:asciiTheme="majorHAnsi" w:hAnsiTheme="majorHAnsi"/>
                <w:sz w:val="22"/>
                <w:szCs w:val="22"/>
              </w:rPr>
              <w:br/>
              <w:t>w notacji wykładniczej</w:t>
            </w:r>
          </w:p>
        </w:tc>
        <w:tc>
          <w:tcPr>
            <w:tcW w:w="6734" w:type="dxa"/>
          </w:tcPr>
          <w:p w:rsidR="007536E9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oblicza wartość potęgi liczby o wykładniku </w:t>
            </w:r>
            <w:r>
              <w:rPr>
                <w:rFonts w:asciiTheme="majorHAnsi" w:hAnsiTheme="majorHAnsi"/>
                <w:sz w:val="22"/>
                <w:szCs w:val="22"/>
              </w:rPr>
              <w:t>całkowitym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7536E9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porównuje liczby zapisane w postaci potęg</w:t>
            </w:r>
            <w:r w:rsidRPr="00803E56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7536E9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prawa działań na potęgach do obliczania wartości wyrażeń</w:t>
            </w:r>
          </w:p>
          <w:p w:rsidR="007536E9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prawa działań na potęgach do upraszczania wyrażeń algebraicznych</w:t>
            </w:r>
          </w:p>
          <w:p w:rsidR="007536E9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podaje notację wykładniczą liczby zapisanej w postaci dziesiętnej i odwrotnie </w:t>
            </w:r>
          </w:p>
          <w:p w:rsidR="007536E9" w:rsidRPr="00803E56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wykonuje działania na liczbach zapisanych w notacji wykładniczej</w:t>
            </w:r>
          </w:p>
        </w:tc>
        <w:tc>
          <w:tcPr>
            <w:tcW w:w="1134" w:type="dxa"/>
          </w:tcPr>
          <w:p w:rsidR="007536E9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7536E9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Potęga o wykładniku wymiernym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1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definicja potęgi o wykładniku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den>
              </m:f>
            </m:oMath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 xml:space="preserve"> liczby nieujemnej</w:t>
            </w:r>
          </w:p>
          <w:p w:rsidR="007536E9" w:rsidRPr="00BC2821" w:rsidRDefault="007536E9" w:rsidP="00500526">
            <w:pPr>
              <w:numPr>
                <w:ilvl w:val="0"/>
                <w:numId w:val="21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definicja potęgi o wykładniku wymiernym liczby dodatniej</w:t>
            </w:r>
          </w:p>
          <w:p w:rsidR="007536E9" w:rsidRPr="00BC2821" w:rsidRDefault="007536E9" w:rsidP="00500526">
            <w:pPr>
              <w:numPr>
                <w:ilvl w:val="0"/>
                <w:numId w:val="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prawa działań na potęgach o wykładnikach wymiernych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 xml:space="preserve">zapisuje pierwiastek </w:t>
            </w:r>
            <w:r w:rsidRPr="00BC2821">
              <w:rPr>
                <w:rFonts w:asciiTheme="majorHAnsi" w:hAnsiTheme="majorHAnsi"/>
                <w:bCs/>
                <w:i/>
                <w:sz w:val="22"/>
                <w:szCs w:val="22"/>
              </w:rPr>
              <w:t>n</w:t>
            </w: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 xml:space="preserve">-tego stopnia w postaci potęgi </w:t>
            </w:r>
          </w:p>
          <w:p w:rsidR="007536E9" w:rsidRPr="00BC2821" w:rsidRDefault="007536E9" w:rsidP="00500526">
            <w:pPr>
              <w:spacing w:line="120" w:lineRule="atLeast"/>
              <w:ind w:left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o wykładniku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n</m:t>
                  </m:r>
                </m:den>
              </m:f>
            </m:oMath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oblicza potęgi o wykładnikach wymiernych</w:t>
            </w:r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zapisuje daną liczbę w postaci potęgi o wykładniku wymiernym</w:t>
            </w:r>
          </w:p>
          <w:p w:rsidR="007536E9" w:rsidRPr="00BC2821" w:rsidRDefault="007536E9" w:rsidP="00500526">
            <w:pPr>
              <w:numPr>
                <w:ilvl w:val="0"/>
                <w:numId w:val="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upraszcza wyrażenia, stosując prawa działań na potęgach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536E9" w:rsidRPr="0056751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567519">
              <w:rPr>
                <w:rFonts w:asciiTheme="majorHAnsi" w:hAnsiTheme="majorHAnsi"/>
                <w:bCs/>
                <w:sz w:val="22"/>
                <w:szCs w:val="22"/>
              </w:rPr>
              <w:t>K</w:t>
            </w:r>
          </w:p>
          <w:p w:rsidR="007536E9" w:rsidRPr="0056751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567519">
              <w:rPr>
                <w:rFonts w:asciiTheme="majorHAnsi" w:hAnsiTheme="majorHAnsi"/>
                <w:bCs/>
                <w:sz w:val="22"/>
                <w:szCs w:val="22"/>
              </w:rPr>
              <w:t>K</w:t>
            </w:r>
          </w:p>
          <w:p w:rsidR="007536E9" w:rsidRPr="0056751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567519">
              <w:rPr>
                <w:rFonts w:asciiTheme="majorHAnsi" w:hAnsiTheme="majorHAnsi"/>
                <w:bCs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567519">
              <w:rPr>
                <w:rFonts w:asciiTheme="majorHAnsi" w:hAnsiTheme="majorHAnsi"/>
                <w:bCs/>
                <w:sz w:val="22"/>
                <w:szCs w:val="22"/>
              </w:rPr>
              <w:t>P–R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10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Logarytm i jego własności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logarytmu dziesiętnego</w:t>
            </w:r>
          </w:p>
          <w:p w:rsidR="007536E9" w:rsidRPr="00BC2821" w:rsidRDefault="007536E9" w:rsidP="00500526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definicja logarytmu o podstawie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a&gt;0 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i</m:t>
              </m:r>
              <m:r>
                <w:rPr>
                  <w:rFonts w:ascii="Cambria Math" w:hAnsi="Cambria Math"/>
                  <w:sz w:val="22"/>
                  <w:szCs w:val="22"/>
                </w:rPr>
                <m:t xml:space="preserve"> a≠1</m:t>
              </m:r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 z liczby dodatniej</w:t>
            </w:r>
          </w:p>
          <w:p w:rsidR="007536E9" w:rsidRDefault="007536E9" w:rsidP="00500526">
            <w:pPr>
              <w:numPr>
                <w:ilvl w:val="0"/>
                <w:numId w:val="14"/>
              </w:numPr>
              <w:spacing w:line="120" w:lineRule="atLeast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 xml:space="preserve">własności logarytmu: </w:t>
            </w:r>
          </w:p>
          <w:p w:rsidR="007536E9" w:rsidRDefault="005C6CAF" w:rsidP="00500526">
            <w:pPr>
              <w:spacing w:line="120" w:lineRule="atLeast"/>
              <w:ind w:left="360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  <m:oMath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2"/>
                      <w:szCs w:val="22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2"/>
                          <w:szCs w:val="22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=</m:t>
                  </m:r>
                  <m: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0</m:t>
                  </m:r>
                </m:e>
              </m:func>
            </m:oMath>
            <w:r w:rsidR="007536E9"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 xml:space="preserve">, </w:t>
            </w:r>
            <m:oMath>
              <m:func>
                <m:funcPr>
                  <m:ctrlPr>
                    <w:rPr>
                      <w:rFonts w:ascii="Cambria Math" w:hAnsi="Cambria Math"/>
                      <w:bCs/>
                      <w:i/>
                      <w:color w:val="000000"/>
                      <w:sz w:val="22"/>
                      <w:szCs w:val="22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bCs/>
                          <w:i/>
                          <w:color w:val="000000"/>
                          <w:sz w:val="22"/>
                          <w:szCs w:val="22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color w:val="000000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  <w:sz w:val="22"/>
                          <w:szCs w:val="22"/>
                        </w:rPr>
                        <m:t>a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=</m:t>
                  </m:r>
                  <m:r>
                    <w:rPr>
                      <w:rFonts w:ascii="Cambria Math" w:hAnsi="Cambria Math"/>
                      <w:color w:val="000000"/>
                      <w:sz w:val="22"/>
                      <w:szCs w:val="22"/>
                    </w:rPr>
                    <m:t>1</m:t>
                  </m:r>
                </m:e>
              </m:func>
            </m:oMath>
            <w:r w:rsidR="007536E9"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>,</w:t>
            </w:r>
          </w:p>
          <w:p w:rsidR="007536E9" w:rsidRPr="002C6942" w:rsidRDefault="007536E9" w:rsidP="00500526">
            <w:pPr>
              <w:spacing w:line="120" w:lineRule="atLeast"/>
              <w:ind w:left="360"/>
              <w:rPr>
                <w:rFonts w:asciiTheme="majorHAnsi" w:hAnsiTheme="majorHAnsi"/>
                <w:bCs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color w:val="000000"/>
                <w:sz w:val="22"/>
                <w:szCs w:val="22"/>
              </w:rPr>
              <w:t xml:space="preserve">gdzie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 xml:space="preserve">a&gt;0 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i</m:t>
              </m:r>
              <m:r>
                <w:rPr>
                  <w:rFonts w:ascii="Cambria Math" w:hAnsi="Cambria Math"/>
                  <w:sz w:val="22"/>
                  <w:szCs w:val="22"/>
                </w:rPr>
                <m:t xml:space="preserve"> a≠1</m:t>
              </m:r>
            </m:oMath>
          </w:p>
          <w:p w:rsidR="007536E9" w:rsidRPr="00BC2821" w:rsidRDefault="007536E9" w:rsidP="00500526">
            <w:pPr>
              <w:numPr>
                <w:ilvl w:val="0"/>
                <w:numId w:val="21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twierdzenia o logarytmie iloczynu, logarytmie ilorazu oraz logarytmie potęgi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oblicza logarytm danej liczby</w:t>
            </w:r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 xml:space="preserve">stosuje równości wynikające z definicji logarytmu </w:t>
            </w:r>
          </w:p>
          <w:p w:rsidR="007536E9" w:rsidRPr="00BC2821" w:rsidRDefault="007536E9" w:rsidP="00500526">
            <w:pPr>
              <w:spacing w:line="120" w:lineRule="atLeast"/>
              <w:ind w:left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 xml:space="preserve">do obliczeń </w:t>
            </w:r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wyznacza podstawę logarytmu, gdy dana jest wartość logarytmu, podaje odpowiednie założenia dla podstawy logarytmu oraz liczby logarytmowanej</w:t>
            </w:r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stosuje twierdzenie o logarytmie iloczynu, ilorazu oraz potęgi do obliczania wartości wyrażeń z logarytmami</w:t>
            </w:r>
          </w:p>
          <w:p w:rsidR="007536E9" w:rsidRPr="00BC2821" w:rsidRDefault="007536E9" w:rsidP="00500526">
            <w:pPr>
              <w:numPr>
                <w:ilvl w:val="0"/>
                <w:numId w:val="6"/>
              </w:numPr>
              <w:spacing w:line="120" w:lineRule="atLeast"/>
              <w:ind w:left="355" w:hanging="355"/>
              <w:rPr>
                <w:rFonts w:asciiTheme="majorHAnsi" w:hAnsiTheme="majorHAnsi"/>
                <w:bCs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stosuje twierdzenie o logarytmie iloczynu, ilorazu i potęgi do uzasadniania równości wyrażeń</w:t>
            </w:r>
          </w:p>
          <w:p w:rsidR="007536E9" w:rsidRPr="00BC2821" w:rsidRDefault="007536E9" w:rsidP="00500526">
            <w:pPr>
              <w:numPr>
                <w:ilvl w:val="0"/>
                <w:numId w:val="1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uzasadnia podstawowe własności logarytmów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P–R 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after="6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lastRenderedPageBreak/>
              <w:t>1</w:t>
            </w:r>
            <w:r>
              <w:rPr>
                <w:rFonts w:asciiTheme="majorHAnsi" w:hAnsiTheme="majorHAnsi"/>
                <w:sz w:val="22"/>
                <w:szCs w:val="22"/>
              </w:rPr>
              <w:t>1.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Procenty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pojęcie procentu</w:t>
            </w:r>
          </w:p>
          <w:p w:rsidR="007536E9" w:rsidRPr="00BC2821" w:rsidRDefault="007536E9" w:rsidP="00500526">
            <w:pPr>
              <w:numPr>
                <w:ilvl w:val="0"/>
                <w:numId w:val="2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pojęcie promila</w:t>
            </w:r>
          </w:p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 procent danej liczby</w:t>
            </w:r>
          </w:p>
          <w:p w:rsidR="007536E9" w:rsidRPr="00BC2821" w:rsidRDefault="007536E9" w:rsidP="00500526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oblicza, jakim procentem jednej liczby jest druga liczba</w:t>
            </w:r>
          </w:p>
          <w:p w:rsidR="007536E9" w:rsidRPr="00BC2821" w:rsidRDefault="007536E9" w:rsidP="00500526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liczbę, gdy dany jest jej procent</w:t>
            </w:r>
          </w:p>
          <w:p w:rsidR="007536E9" w:rsidRPr="00BC2821" w:rsidRDefault="007536E9" w:rsidP="00500526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zmniejsza i zwiększa liczbę o dany procent</w:t>
            </w:r>
          </w:p>
          <w:p w:rsidR="007536E9" w:rsidRPr="00BC2821" w:rsidRDefault="007536E9" w:rsidP="00500526">
            <w:pPr>
              <w:numPr>
                <w:ilvl w:val="0"/>
                <w:numId w:val="2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obliczenia procentowe w zadaniach praktycznych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Pr="00BC2821" w:rsidRDefault="007536E9" w:rsidP="00500526">
            <w:pPr>
              <w:spacing w:before="8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7536E9" w:rsidRPr="009C47B5" w:rsidTr="007536E9">
        <w:trPr>
          <w:cantSplit/>
        </w:trPr>
        <w:tc>
          <w:tcPr>
            <w:tcW w:w="14317" w:type="dxa"/>
            <w:gridSpan w:val="6"/>
            <w:tcBorders>
              <w:top w:val="nil"/>
            </w:tcBorders>
            <w:shd w:val="clear" w:color="auto" w:fill="D9D9D9" w:themeFill="background1" w:themeFillShade="D9"/>
          </w:tcPr>
          <w:p w:rsidR="007536E9" w:rsidRPr="009C47B5" w:rsidRDefault="007536E9" w:rsidP="00500526">
            <w:pPr>
              <w:spacing w:line="120" w:lineRule="atLeast"/>
              <w:rPr>
                <w:rFonts w:asciiTheme="majorHAnsi" w:hAnsiTheme="majorHAnsi"/>
                <w:szCs w:val="22"/>
              </w:rPr>
            </w:pPr>
            <w:r w:rsidRPr="009C47B5">
              <w:rPr>
                <w:rFonts w:asciiTheme="majorHAnsi" w:hAnsiTheme="majorHAnsi"/>
                <w:b/>
                <w:szCs w:val="22"/>
              </w:rPr>
              <w:t xml:space="preserve">2. </w:t>
            </w:r>
            <w:r w:rsidRPr="009C47B5">
              <w:rPr>
                <w:rFonts w:asciiTheme="majorHAnsi" w:hAnsiTheme="majorHAnsi"/>
                <w:b/>
                <w:caps/>
                <w:szCs w:val="22"/>
              </w:rPr>
              <w:t>Język matematyki</w:t>
            </w:r>
          </w:p>
        </w:tc>
      </w:tr>
      <w:tr w:rsidR="007536E9" w:rsidRPr="0096464F" w:rsidTr="007536E9">
        <w:trPr>
          <w:cantSplit/>
        </w:trPr>
        <w:tc>
          <w:tcPr>
            <w:tcW w:w="2764" w:type="dxa"/>
            <w:gridSpan w:val="2"/>
          </w:tcPr>
          <w:p w:rsidR="007536E9" w:rsidRPr="0096464F" w:rsidRDefault="007536E9" w:rsidP="00500526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1. Zbiory</w:t>
            </w:r>
          </w:p>
        </w:tc>
        <w:tc>
          <w:tcPr>
            <w:tcW w:w="3685" w:type="dxa"/>
            <w:gridSpan w:val="2"/>
          </w:tcPr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sposoby opisywania zbiorów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zbiory skończone i nieskończone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zbiór pusty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definicja podzbioru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relacja zawierania zbiorów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zapis symboliczny zbiorów</w:t>
            </w:r>
          </w:p>
        </w:tc>
        <w:tc>
          <w:tcPr>
            <w:tcW w:w="6734" w:type="dxa"/>
          </w:tcPr>
          <w:p w:rsidR="007536E9" w:rsidRPr="0096464F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 xml:space="preserve">Uczeń: </w:t>
            </w:r>
          </w:p>
          <w:p w:rsidR="007536E9" w:rsidRPr="0096464F" w:rsidRDefault="007536E9" w:rsidP="00500526">
            <w:pPr>
              <w:numPr>
                <w:ilvl w:val="0"/>
                <w:numId w:val="22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posługuje się pojęciami: zbiór, podzbiór, zbiór pusty, zbiór skończony, zbiór nieskończony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pacing w:val="-2"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pacing w:val="-2"/>
                <w:sz w:val="22"/>
                <w:szCs w:val="22"/>
              </w:rPr>
              <w:t>wymienia elementy danego zbioru oraz elementy do niego nienależące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pacing w:val="-2"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pacing w:val="-2"/>
                <w:sz w:val="22"/>
                <w:szCs w:val="22"/>
              </w:rPr>
              <w:t>opisuje słownie i symbolicznie dany zbiór</w:t>
            </w:r>
          </w:p>
          <w:p w:rsidR="007536E9" w:rsidRPr="00372A9B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określa relację zawierania zbiorów</w:t>
            </w:r>
            <w:r>
              <w:rPr>
                <w:rFonts w:asciiTheme="majorHAnsi" w:hAnsiTheme="majorHAnsi"/>
                <w:bCs/>
                <w:sz w:val="22"/>
                <w:szCs w:val="22"/>
              </w:rPr>
              <w:t>, w szczególności rozpoznaje zbiory równe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wypisuje podzbiory danego zbioru</w:t>
            </w:r>
          </w:p>
        </w:tc>
        <w:tc>
          <w:tcPr>
            <w:tcW w:w="1134" w:type="dxa"/>
          </w:tcPr>
          <w:p w:rsidR="007536E9" w:rsidRPr="0096464F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536E9" w:rsidRPr="0096464F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536E9" w:rsidRPr="0096464F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K</w:t>
            </w:r>
          </w:p>
          <w:p w:rsidR="007536E9" w:rsidRPr="0096464F" w:rsidRDefault="007536E9" w:rsidP="00500526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</w:p>
          <w:p w:rsidR="007536E9" w:rsidRPr="0096464F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>K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>P–R</w:t>
            </w:r>
          </w:p>
          <w:p w:rsidR="007536E9" w:rsidRPr="0096464F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</w:p>
          <w:p w:rsidR="007536E9" w:rsidRPr="0096464F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>P–R</w:t>
            </w:r>
          </w:p>
          <w:p w:rsidR="007536E9" w:rsidRPr="0096464F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  <w:lang w:val="en-US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  <w:lang w:val="en-US"/>
              </w:rPr>
              <w:t>P–R</w:t>
            </w:r>
          </w:p>
        </w:tc>
      </w:tr>
      <w:tr w:rsidR="007536E9" w:rsidRPr="0096464F" w:rsidTr="007536E9">
        <w:trPr>
          <w:cantSplit/>
        </w:trPr>
        <w:tc>
          <w:tcPr>
            <w:tcW w:w="2764" w:type="dxa"/>
            <w:gridSpan w:val="2"/>
          </w:tcPr>
          <w:p w:rsidR="007536E9" w:rsidRPr="0096464F" w:rsidRDefault="007536E9" w:rsidP="00500526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2. Działania na zbiorach</w:t>
            </w:r>
          </w:p>
        </w:tc>
        <w:tc>
          <w:tcPr>
            <w:tcW w:w="3685" w:type="dxa"/>
            <w:gridSpan w:val="2"/>
          </w:tcPr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iloczyn zbiorów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suma zbiorów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różnica zbiorów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dopełnienie zbioru</w:t>
            </w:r>
          </w:p>
        </w:tc>
        <w:tc>
          <w:tcPr>
            <w:tcW w:w="6734" w:type="dxa"/>
          </w:tcPr>
          <w:p w:rsidR="007536E9" w:rsidRPr="0096464F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Uczeń: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posługuje się pojęciami: iloczyn, suma oraz różnica zbiorów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wyznacza iloczyn, sumę oraz różnicę danych zbiorów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 xml:space="preserve">przedstawia na diagramie zbiór, który jest wynikiem działań na trzech dowolnych zbiorach </w:t>
            </w:r>
          </w:p>
          <w:p w:rsidR="007536E9" w:rsidRPr="0096464F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wyznacza dopełnienie zbioru</w:t>
            </w:r>
          </w:p>
        </w:tc>
        <w:tc>
          <w:tcPr>
            <w:tcW w:w="1134" w:type="dxa"/>
          </w:tcPr>
          <w:p w:rsidR="007536E9" w:rsidRPr="0096464F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96464F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>
              <w:rPr>
                <w:rFonts w:asciiTheme="majorHAnsi" w:hAnsiTheme="majorHAnsi"/>
                <w:bCs/>
                <w:sz w:val="22"/>
                <w:szCs w:val="22"/>
              </w:rPr>
              <w:t>K</w:t>
            </w: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–R</w:t>
            </w:r>
          </w:p>
          <w:p w:rsidR="007536E9" w:rsidRPr="0096464F" w:rsidRDefault="007536E9" w:rsidP="00500526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536E9" w:rsidRPr="0096464F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R–D</w:t>
            </w:r>
          </w:p>
          <w:p w:rsidR="007536E9" w:rsidRPr="0096464F" w:rsidRDefault="007536E9" w:rsidP="00500526">
            <w:pPr>
              <w:spacing w:before="80"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96464F">
              <w:rPr>
                <w:rFonts w:asciiTheme="majorHAnsi" w:hAnsiTheme="majorHAnsi"/>
                <w:bCs/>
                <w:sz w:val="22"/>
                <w:szCs w:val="22"/>
              </w:rPr>
              <w:t>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3. Przedziały 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określenie przedziałów: otwartego, domkniętego, lewostronnie domkniętego, prawostronnie domkniętego, ograniczonego, nieograniczonego</w:t>
            </w:r>
          </w:p>
          <w:p w:rsidR="007536E9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zapis symboliczny przedziałów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długość przedziału</w:t>
            </w:r>
          </w:p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Uczeń: </w:t>
            </w:r>
          </w:p>
          <w:p w:rsidR="007536E9" w:rsidRPr="00BC2821" w:rsidRDefault="007536E9" w:rsidP="00500526">
            <w:pPr>
              <w:numPr>
                <w:ilvl w:val="0"/>
                <w:numId w:val="2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rozróżnia pojęcia: przedział otwarty, domknięty, lewostronnie domknięty, prawostronnie domknięty, ograniczony, nieograniczony</w:t>
            </w:r>
          </w:p>
          <w:p w:rsidR="007536E9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odczytuje i zapisuje symbolem przedział zaznaczony na osi </w:t>
            </w:r>
          </w:p>
          <w:p w:rsidR="007536E9" w:rsidRDefault="007536E9" w:rsidP="00500526">
            <w:pPr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liczbowej</w:t>
            </w:r>
          </w:p>
          <w:p w:rsidR="007536E9" w:rsidRPr="005D7ED6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2"/>
                <w:sz w:val="22"/>
                <w:szCs w:val="22"/>
              </w:rPr>
              <w:t>zapisuje przedział</w:t>
            </w:r>
            <w:r>
              <w:rPr>
                <w:rFonts w:asciiTheme="majorHAnsi" w:hAnsiTheme="majorHAnsi"/>
                <w:spacing w:val="-2"/>
                <w:sz w:val="22"/>
                <w:szCs w:val="22"/>
              </w:rPr>
              <w:t xml:space="preserve">em zbiór liczb spełniających zadane warunki </w:t>
            </w:r>
            <w:r w:rsidRPr="00BC2821">
              <w:rPr>
                <w:rFonts w:asciiTheme="majorHAnsi" w:hAnsiTheme="majorHAnsi"/>
                <w:spacing w:val="-2"/>
                <w:sz w:val="22"/>
                <w:szCs w:val="22"/>
              </w:rPr>
              <w:t>i zaznacza go na osi liczbowej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przedział opisany podanymi nierównościami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wymienia liczby należące do przedziału spełniające zadane warunki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7536E9" w:rsidRPr="00266F07" w:rsidTr="007536E9">
        <w:trPr>
          <w:cantSplit/>
        </w:trPr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7536E9" w:rsidRPr="00266F07" w:rsidRDefault="007536E9" w:rsidP="00500526">
            <w:p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266F07">
              <w:rPr>
                <w:rFonts w:asciiTheme="majorHAnsi" w:hAnsiTheme="majorHAnsi"/>
                <w:bCs/>
                <w:sz w:val="22"/>
                <w:szCs w:val="22"/>
              </w:rPr>
              <w:t>4. Działania na przedziałach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7536E9" w:rsidRPr="00266F07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266F07">
              <w:rPr>
                <w:rFonts w:asciiTheme="majorHAnsi" w:hAnsiTheme="majorHAnsi"/>
                <w:bCs/>
                <w:sz w:val="22"/>
                <w:szCs w:val="22"/>
              </w:rPr>
              <w:t>iloczyn, suma, różnica przedziałów</w:t>
            </w:r>
          </w:p>
        </w:tc>
        <w:tc>
          <w:tcPr>
            <w:tcW w:w="6734" w:type="dxa"/>
            <w:tcBorders>
              <w:bottom w:val="single" w:sz="4" w:space="0" w:color="auto"/>
            </w:tcBorders>
          </w:tcPr>
          <w:p w:rsidR="007536E9" w:rsidRPr="00266F07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bCs/>
                <w:sz w:val="22"/>
                <w:szCs w:val="22"/>
              </w:rPr>
            </w:pPr>
            <w:r w:rsidRPr="00266F07">
              <w:rPr>
                <w:rFonts w:asciiTheme="majorHAnsi" w:hAnsiTheme="majorHAnsi"/>
                <w:bCs/>
                <w:sz w:val="22"/>
                <w:szCs w:val="22"/>
              </w:rPr>
              <w:t>Uczeń:</w:t>
            </w:r>
          </w:p>
          <w:p w:rsidR="007536E9" w:rsidRPr="00266F07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266F07">
              <w:rPr>
                <w:rFonts w:asciiTheme="majorHAnsi" w:hAnsiTheme="majorHAnsi"/>
                <w:bCs/>
                <w:sz w:val="22"/>
                <w:szCs w:val="22"/>
              </w:rPr>
              <w:t>wyznacza iloczyn, sumę i różnicę przedziałów oraz zaznacza je na osi liczbowej</w:t>
            </w:r>
          </w:p>
          <w:p w:rsidR="007536E9" w:rsidRPr="00266F07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bCs/>
                <w:sz w:val="22"/>
                <w:szCs w:val="22"/>
              </w:rPr>
            </w:pPr>
            <w:r w:rsidRPr="00266F07">
              <w:rPr>
                <w:rFonts w:asciiTheme="majorHAnsi" w:hAnsiTheme="majorHAnsi"/>
                <w:bCs/>
                <w:sz w:val="22"/>
                <w:szCs w:val="22"/>
              </w:rPr>
              <w:t>wyznacza iloczyn, sumę i różnicę różnych zbiorów liczbowych oraz zapisuje je symbolicznie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36E9" w:rsidRPr="00266F07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536E9" w:rsidRPr="00266F07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266F07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</w:p>
          <w:p w:rsidR="007536E9" w:rsidRPr="00266F07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Cs/>
                <w:sz w:val="22"/>
                <w:szCs w:val="22"/>
              </w:rPr>
            </w:pPr>
            <w:r w:rsidRPr="00266F07">
              <w:rPr>
                <w:rFonts w:asciiTheme="majorHAnsi" w:hAnsiTheme="majorHAnsi"/>
                <w:bCs/>
                <w:sz w:val="22"/>
                <w:szCs w:val="22"/>
              </w:rPr>
              <w:t>R–D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5. Rozwiązywanie nierówności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nierówności pierwszego stopnia z jedną niewiadomą</w:t>
            </w:r>
          </w:p>
          <w:p w:rsidR="007536E9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nierówności ostre i nieostre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nierówności sprzeczne i tożsamościowe</w:t>
            </w:r>
          </w:p>
          <w:p w:rsidR="007536E9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nierówności równoważne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twierdzenia o przekształcaniu nierówności w sposób równoważny</w:t>
            </w:r>
          </w:p>
        </w:tc>
        <w:tc>
          <w:tcPr>
            <w:tcW w:w="6734" w:type="dxa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sprawdza, czy dana liczba rzeczywista jest rozwiązaniem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nierówności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rozwiązuje nierówności pierwszego stopnia z jedną niewiadomą, w tym nierówności sprzeczne i tożsamościowe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zapisuje zbiór rozwiązań nierówności w postaci przedziału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nierówności pierwszego stopnia z jedną niewiadomą do rozwiązywania zadań osadzonych w kontekście praktycznym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7536E9" w:rsidRPr="00C9125B" w:rsidRDefault="007536E9" w:rsidP="00500526">
            <w:pPr>
              <w:spacing w:line="120" w:lineRule="atLeast"/>
              <w:rPr>
                <w:rFonts w:asciiTheme="majorHAnsi" w:hAnsiTheme="majorHAnsi"/>
                <w:color w:val="FF0000"/>
                <w:sz w:val="22"/>
                <w:szCs w:val="22"/>
              </w:rPr>
            </w:pPr>
            <w:r w:rsidRPr="00832D4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6. Mnożenie sumy algebraicznej przez jednomian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7536E9" w:rsidRPr="00FC7206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m</w:t>
            </w:r>
            <w:r w:rsidRPr="00832D4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nożeni</w:t>
            </w: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e</w:t>
            </w:r>
            <w:r w:rsidRPr="00832D4E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sumy algebraicznej przez jednomian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wyrazy podobne</w:t>
            </w:r>
          </w:p>
        </w:tc>
        <w:tc>
          <w:tcPr>
            <w:tcW w:w="6734" w:type="dxa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997564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mnoży sumę algebraiczną przez jednomian i redukuje wyrazy podobne otrzymanej sumy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7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Wyłączanie jednomianu przed nawias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wyłączanie jednomianu przed nawias</w:t>
            </w:r>
          </w:p>
        </w:tc>
        <w:tc>
          <w:tcPr>
            <w:tcW w:w="6734" w:type="dxa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FC7206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iCs/>
                <w:color w:val="000000"/>
                <w:sz w:val="22"/>
                <w:szCs w:val="22"/>
              </w:rPr>
              <w:t>wyłącza wskazany jednomian przed nawias</w:t>
            </w:r>
          </w:p>
          <w:p w:rsidR="007536E9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zapisuje wyrażenia algebraiczne w postaci iloczynu</w:t>
            </w:r>
          </w:p>
          <w:p w:rsidR="007536E9" w:rsidRPr="00082025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stosuje metodę wyłączania jednomianu przed nawias do </w:t>
            </w:r>
            <w:r>
              <w:rPr>
                <w:rFonts w:asciiTheme="majorHAnsi" w:hAnsiTheme="majorHAnsi"/>
                <w:sz w:val="22"/>
                <w:szCs w:val="22"/>
              </w:rPr>
              <w:t>obliczania wartości wyrażeń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metodę wyłączania jednomianu przed nawias do dowodzenia podzielności liczb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Mnożenie sum algebraicznych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mnożenie sum algebraicznych</w:t>
            </w:r>
          </w:p>
        </w:tc>
        <w:tc>
          <w:tcPr>
            <w:tcW w:w="6734" w:type="dxa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iCs/>
                <w:color w:val="000000"/>
                <w:sz w:val="22"/>
                <w:szCs w:val="22"/>
              </w:rPr>
              <w:t>mnoży sumy algebraiczne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przekształca wyrażenia algebraiczne, uwzględniając kolejność wykonywania działań</w:t>
            </w:r>
          </w:p>
          <w:p w:rsidR="007536E9" w:rsidRDefault="007536E9" w:rsidP="00500526">
            <w:pPr>
              <w:numPr>
                <w:ilvl w:val="0"/>
                <w:numId w:val="11"/>
              </w:numPr>
              <w:tabs>
                <w:tab w:val="clear" w:pos="360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wykonuje działania na liczbach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postaci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a+b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c</m:t>
                  </m:r>
                </m:e>
              </m:rad>
            </m:oMath>
          </w:p>
          <w:p w:rsidR="007536E9" w:rsidRPr="00F066A7" w:rsidRDefault="007536E9" w:rsidP="00500526">
            <w:pPr>
              <w:numPr>
                <w:ilvl w:val="0"/>
                <w:numId w:val="11"/>
              </w:numPr>
              <w:tabs>
                <w:tab w:val="clear" w:pos="360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wykorzystuje wyrażenia algebraiczne do opisu zależności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dowodzi podzielności liczb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rozwiązuje równania i nierówności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D–W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9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Wzory skróconego mnożenia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color w:val="FF0000"/>
                <w:sz w:val="22"/>
                <w:szCs w:val="22"/>
              </w:rPr>
            </w:pP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wzory skróconego mnożenia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(</w:t>
            </w:r>
            <w:r w:rsidRPr="00BC2821"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a </w:t>
            </w:r>
            <w:r w:rsidRPr="00BC2821">
              <w:rPr>
                <w:rFonts w:asciiTheme="majorHAnsi" w:hAnsiTheme="majorHAnsi"/>
                <w:noProof/>
                <w:position w:val="-4"/>
                <w:sz w:val="22"/>
                <w:szCs w:val="22"/>
              </w:rPr>
              <w:object w:dxaOrig="22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1.25pt;height:11.25pt;mso-width-percent:0;mso-height-percent:0;mso-width-percent:0;mso-height-percent:0" o:ole="" fillcolor="window">
                  <v:imagedata r:id="rId8" o:title=""/>
                </v:shape>
                <o:OLEObject Type="Embed" ProgID="Equation.3" ShapeID="_x0000_i1025" DrawAspect="Content" ObjectID="_1851448828" r:id="rId9"/>
              </w:object>
            </w:r>
            <w:r w:rsidRPr="00BC2821">
              <w:rPr>
                <w:rFonts w:asciiTheme="majorHAnsi" w:hAnsiTheme="majorHAnsi"/>
                <w:i/>
                <w:iCs/>
                <w:sz w:val="22"/>
                <w:szCs w:val="22"/>
              </w:rPr>
              <w:t>b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)² oraz </w:t>
            </w:r>
            <w:r w:rsidRPr="00BC2821">
              <w:rPr>
                <w:rFonts w:asciiTheme="majorHAnsi" w:hAnsiTheme="majorHAnsi"/>
                <w:i/>
                <w:iCs/>
                <w:sz w:val="22"/>
                <w:szCs w:val="22"/>
              </w:rPr>
              <w:t>a</w:t>
            </w:r>
            <w:r w:rsidRPr="00BC2821">
              <w:rPr>
                <w:rFonts w:asciiTheme="majorHAnsi" w:hAnsiTheme="majorHAnsi"/>
                <w:iCs/>
                <w:sz w:val="22"/>
                <w:szCs w:val="22"/>
              </w:rPr>
              <w:t>²</w:t>
            </w:r>
            <w:r w:rsidRPr="00BC2821"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 – b²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br/>
            </w:r>
          </w:p>
        </w:tc>
        <w:tc>
          <w:tcPr>
            <w:tcW w:w="6734" w:type="dxa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odpowiedni wzór skróconego mnożenia do wyznaczenia kwadratu sumy lub różnicy oraz różnicy kwadratów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przekształca wyrażenie algebraiczne z zastosowaniem wzorów skróconego mnożenia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stosuje wzory skróconego mnożenia do wykonywania działań na liczbach postaci </w:t>
            </w:r>
            <w:r w:rsidRPr="00BC2821">
              <w:rPr>
                <w:rFonts w:asciiTheme="majorHAnsi" w:hAnsiTheme="majorHAnsi"/>
                <w:noProof/>
                <w:position w:val="-8"/>
                <w:sz w:val="22"/>
                <w:szCs w:val="22"/>
              </w:rPr>
              <w:object w:dxaOrig="820" w:dyaOrig="360">
                <v:shape id="_x0000_i1026" type="#_x0000_t75" alt="" style="width:41.25pt;height:18.75pt;mso-width-percent:0;mso-height-percent:0;mso-width-percent:0;mso-height-percent:0" o:ole="">
                  <v:imagedata r:id="rId10" o:title=""/>
                </v:shape>
                <o:OLEObject Type="Embed" ProgID="Equation.3" ShapeID="_x0000_i1026" DrawAspect="Content" ObjectID="_1851448829" r:id="rId11"/>
              </w:objec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wyprowadza wzory skróconego mnożenia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wzory skróconego mnożenia do dowodzenia własności liczb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 – D 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 – D </w:t>
            </w:r>
          </w:p>
          <w:p w:rsidR="007536E9" w:rsidRPr="00BC2821" w:rsidRDefault="007536E9" w:rsidP="00500526">
            <w:pPr>
              <w:spacing w:before="1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br/>
            </w:r>
            <w:r w:rsidRPr="00BC2821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10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Zastosowanie przekształceń algebraicznych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Default="007536E9" w:rsidP="00500526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zastosowanie przekształceń algebraicznych do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przekształcania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w sposób równoważny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równań i nierówności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z jedną niewiadomą</w:t>
            </w:r>
          </w:p>
          <w:p w:rsidR="007536E9" w:rsidRPr="00BC2821" w:rsidRDefault="007536E9" w:rsidP="00500526">
            <w:pPr>
              <w:numPr>
                <w:ilvl w:val="0"/>
                <w:numId w:val="1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usuwanie niewymierności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z mianownika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przekształcenia algebraiczne do rozwiązywania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równań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nierówności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oraz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układów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nierówności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usuwa niewymierność z mianownika ułamka</w:t>
            </w:r>
          </w:p>
          <w:p w:rsidR="007536E9" w:rsidRPr="00BC2821" w:rsidRDefault="007536E9" w:rsidP="00500526">
            <w:pPr>
              <w:numPr>
                <w:ilvl w:val="0"/>
                <w:numId w:val="1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wzory skróconego mnożenia do dowodzenia twierdzeń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 – R 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P–D 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1</w:t>
            </w:r>
            <w:r>
              <w:rPr>
                <w:rFonts w:asciiTheme="majorHAnsi" w:hAnsiTheme="majorHAnsi"/>
                <w:sz w:val="22"/>
                <w:szCs w:val="22"/>
              </w:rPr>
              <w:t>1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Wartość bezwzględna</w:t>
            </w:r>
          </w:p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wartości bezwzględnej</w:t>
            </w:r>
          </w:p>
          <w:p w:rsidR="007536E9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interpretacja geometryczna wartości bezwzględnej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własności wartości bezwzględnej</w:t>
            </w:r>
          </w:p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34" w:type="dxa"/>
            <w:tcBorders>
              <w:top w:val="single" w:sz="4" w:space="0" w:color="auto"/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Uczeń: 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 wartość bezwzględną danej liczby</w:t>
            </w:r>
          </w:p>
          <w:p w:rsidR="007536E9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upraszcza wyrażenia z wartością bezwzględną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stosuje równość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2</m:t>
                      </m:r>
                    </m:sup>
                  </m:sSup>
                </m:e>
              </m:rad>
              <m:r>
                <w:rPr>
                  <w:rFonts w:ascii="Cambria Math" w:hAnsi="Cambria Math"/>
                  <w:sz w:val="22"/>
                  <w:szCs w:val="22"/>
                </w:rPr>
                <m:t>=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e>
              </m:d>
            </m:oMath>
            <w:r>
              <w:rPr>
                <w:rFonts w:asciiTheme="majorHAnsi" w:hAnsiTheme="majorHAnsi"/>
                <w:sz w:val="22"/>
                <w:szCs w:val="22"/>
              </w:rPr>
              <w:t xml:space="preserve"> do obliczania wartości wyrażeń</w:t>
            </w:r>
          </w:p>
          <w:p w:rsidR="007536E9" w:rsidRPr="00BC2821" w:rsidRDefault="007536E9" w:rsidP="00500526">
            <w:pPr>
              <w:numPr>
                <w:ilvl w:val="0"/>
                <w:numId w:val="24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rozwiązuje, stosując interpretację geometryczną, elementarne równania i nierówności z wartością bezwzględną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>
              <w:rPr>
                <w:rFonts w:asciiTheme="majorHAnsi" w:hAnsiTheme="majorHAnsi"/>
                <w:sz w:val="22"/>
                <w:szCs w:val="22"/>
                <w:lang w:val="en-US"/>
              </w:rPr>
              <w:t>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P–D</w:t>
            </w:r>
          </w:p>
        </w:tc>
      </w:tr>
      <w:tr w:rsidR="007536E9" w:rsidRPr="009C47B5" w:rsidTr="007536E9">
        <w:trPr>
          <w:cantSplit/>
        </w:trPr>
        <w:tc>
          <w:tcPr>
            <w:tcW w:w="14317" w:type="dxa"/>
            <w:gridSpan w:val="6"/>
            <w:shd w:val="clear" w:color="auto" w:fill="D9D9D9" w:themeFill="background1" w:themeFillShade="D9"/>
          </w:tcPr>
          <w:p w:rsidR="007536E9" w:rsidRPr="009C47B5" w:rsidRDefault="007536E9" w:rsidP="00500526">
            <w:pPr>
              <w:spacing w:line="120" w:lineRule="atLeast"/>
              <w:rPr>
                <w:rFonts w:asciiTheme="majorHAnsi" w:hAnsiTheme="majorHAnsi"/>
                <w:szCs w:val="22"/>
              </w:rPr>
            </w:pPr>
            <w:r w:rsidRPr="009C47B5">
              <w:rPr>
                <w:rFonts w:asciiTheme="majorHAnsi" w:hAnsiTheme="majorHAnsi"/>
                <w:b/>
                <w:szCs w:val="22"/>
              </w:rPr>
              <w:t xml:space="preserve">3. </w:t>
            </w:r>
            <w:r w:rsidRPr="009C47B5">
              <w:rPr>
                <w:rFonts w:asciiTheme="majorHAnsi" w:hAnsiTheme="majorHAnsi"/>
                <w:b/>
                <w:caps/>
                <w:szCs w:val="22"/>
              </w:rPr>
              <w:t>Układy równań</w:t>
            </w:r>
          </w:p>
        </w:tc>
      </w:tr>
      <w:tr w:rsidR="007536E9" w:rsidRPr="00BC2821" w:rsidTr="007536E9">
        <w:trPr>
          <w:cantSplit/>
        </w:trPr>
        <w:tc>
          <w:tcPr>
            <w:tcW w:w="2710" w:type="dxa"/>
          </w:tcPr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1. Co to jest układ równań</w:t>
            </w:r>
          </w:p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20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pojęcie układu równań</w:t>
            </w:r>
          </w:p>
          <w:p w:rsidR="007536E9" w:rsidRPr="00BC2821" w:rsidRDefault="007536E9" w:rsidP="00500526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rozwiązanie układu równań </w:t>
            </w:r>
          </w:p>
        </w:tc>
        <w:tc>
          <w:tcPr>
            <w:tcW w:w="6753" w:type="dxa"/>
            <w:gridSpan w:val="2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pary liczb spełniające równanie liniowe z dwiema niewiadomymi</w:t>
            </w:r>
          </w:p>
          <w:p w:rsidR="007536E9" w:rsidRPr="00BC2821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sprawdza, czy dana para liczb jest rozwiązaniem układu równań</w:t>
            </w:r>
          </w:p>
          <w:p w:rsidR="007536E9" w:rsidRPr="00BC2821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dopisuje drugie równanie tak, aby dana para liczb spełniała dany układ równań</w:t>
            </w:r>
          </w:p>
          <w:p w:rsidR="007536E9" w:rsidRPr="00BC2821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zapisuje podane informacje w postaci układu równań 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7536E9" w:rsidRPr="00BC2821" w:rsidTr="007536E9">
        <w:trPr>
          <w:cantSplit/>
        </w:trPr>
        <w:tc>
          <w:tcPr>
            <w:tcW w:w="2710" w:type="dxa"/>
          </w:tcPr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2. Rozwiązywanie układów równań metodą podstawiania</w:t>
            </w:r>
          </w:p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20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rozwiązywania układów równań metodą podstawiania</w:t>
            </w:r>
          </w:p>
          <w:p w:rsidR="007536E9" w:rsidRPr="00BC2821" w:rsidRDefault="007536E9" w:rsidP="00500526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definicja układu równań oznaczonego, sprzecznego, nieoznaczonego </w:t>
            </w:r>
          </w:p>
        </w:tc>
        <w:tc>
          <w:tcPr>
            <w:tcW w:w="6753" w:type="dxa"/>
            <w:gridSpan w:val="2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rozwiązuje układ równań metodą podstawiania </w:t>
            </w:r>
          </w:p>
          <w:p w:rsidR="007536E9" w:rsidRPr="00BC2821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rozpoznaje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typ układu równań (czy dany układ równań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jest układem oznaczonym, nieoznaczonym czy sprzecznym)</w:t>
            </w:r>
          </w:p>
          <w:p w:rsidR="007536E9" w:rsidRPr="00BC2821" w:rsidRDefault="007536E9" w:rsidP="00500526">
            <w:pPr>
              <w:numPr>
                <w:ilvl w:val="0"/>
                <w:numId w:val="36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dopisuje drugie równanie tak, aby układ równań był układem oznaczonym, nieoznaczonym lub sprzecznym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7536E9" w:rsidRPr="00BC2821" w:rsidTr="007536E9">
        <w:trPr>
          <w:cantSplit/>
          <w:trHeight w:val="154"/>
        </w:trPr>
        <w:tc>
          <w:tcPr>
            <w:tcW w:w="2710" w:type="dxa"/>
          </w:tcPr>
          <w:p w:rsidR="007536E9" w:rsidRPr="00BC2821" w:rsidRDefault="007536E9" w:rsidP="00500526">
            <w:pPr>
              <w:pStyle w:val="Nagwek"/>
              <w:tabs>
                <w:tab w:val="clear" w:pos="4536"/>
                <w:tab w:val="clear" w:pos="9072"/>
              </w:tabs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3. Rozwiązywanie układów równań metodą przeciwnych współczynników</w:t>
            </w:r>
          </w:p>
        </w:tc>
        <w:tc>
          <w:tcPr>
            <w:tcW w:w="3720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34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rozwiązywania układów równań metodą przeciwnych współczynników </w:t>
            </w:r>
          </w:p>
        </w:tc>
        <w:tc>
          <w:tcPr>
            <w:tcW w:w="6753" w:type="dxa"/>
            <w:gridSpan w:val="2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rozwiązuje układ równań metodą przeciwnych współczynników</w:t>
            </w:r>
          </w:p>
          <w:p w:rsidR="007536E9" w:rsidRPr="00BC2821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zapisuje rozwiązanie układu równań w przypadku, gdy jest to układ nieoznaczony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right="-7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K–P</w:t>
            </w:r>
          </w:p>
          <w:p w:rsidR="007536E9" w:rsidRPr="00BC2821" w:rsidRDefault="007536E9" w:rsidP="00500526">
            <w:pPr>
              <w:spacing w:line="120" w:lineRule="atLeast"/>
              <w:ind w:right="-7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right="-7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</w:t>
            </w:r>
          </w:p>
        </w:tc>
      </w:tr>
      <w:tr w:rsidR="007536E9" w:rsidRPr="00BC2821" w:rsidTr="007536E9">
        <w:trPr>
          <w:cantSplit/>
        </w:trPr>
        <w:tc>
          <w:tcPr>
            <w:tcW w:w="2710" w:type="dxa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lastRenderedPageBreak/>
              <w:t>4. Układy równań – zadania tekstowe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</w:tc>
        <w:tc>
          <w:tcPr>
            <w:tcW w:w="3720" w:type="dxa"/>
            <w:gridSpan w:val="2"/>
          </w:tcPr>
          <w:p w:rsidR="007536E9" w:rsidRPr="00586175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zastosowanie układów równań do rozwiązywania zadań tekstowych</w:t>
            </w:r>
          </w:p>
        </w:tc>
        <w:tc>
          <w:tcPr>
            <w:tcW w:w="6753" w:type="dxa"/>
            <w:gridSpan w:val="2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586175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układa i rozwiązuje układ równań do zadania z treścią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:rsidR="007536E9" w:rsidRPr="00586175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7536E9" w:rsidRPr="00BC2821" w:rsidTr="007536E9">
        <w:trPr>
          <w:cantSplit/>
        </w:trPr>
        <w:tc>
          <w:tcPr>
            <w:tcW w:w="2710" w:type="dxa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5.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Układy równań – zadania tekstowe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</w:tc>
        <w:tc>
          <w:tcPr>
            <w:tcW w:w="3720" w:type="dxa"/>
            <w:gridSpan w:val="2"/>
          </w:tcPr>
          <w:p w:rsidR="007536E9" w:rsidRPr="00586175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zastosowanie układów równań do rozwiązywania zadań tekstowych</w:t>
            </w:r>
          </w:p>
        </w:tc>
        <w:tc>
          <w:tcPr>
            <w:tcW w:w="6753" w:type="dxa"/>
            <w:gridSpan w:val="2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układa i rozwiązuje układ równań do zadania z treścią</w:t>
            </w:r>
          </w:p>
          <w:p w:rsidR="007536E9" w:rsidRPr="00586175" w:rsidRDefault="007536E9" w:rsidP="00500526">
            <w:pPr>
              <w:numPr>
                <w:ilvl w:val="0"/>
                <w:numId w:val="35"/>
              </w:numPr>
              <w:tabs>
                <w:tab w:val="clear" w:pos="720"/>
                <w:tab w:val="num" w:pos="360"/>
              </w:tabs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586175">
              <w:rPr>
                <w:rFonts w:asciiTheme="majorHAnsi" w:hAnsiTheme="majorHAnsi"/>
                <w:sz w:val="22"/>
                <w:szCs w:val="22"/>
              </w:rPr>
              <w:t>rozwiązuje zadania tekstowe dotyczące sytuacji praktycznych, w tym zadania dotyczące prędkości oraz wielkości podanych za pomocą procentów: stężeń roztworów i lokat bankowych</w:t>
            </w:r>
          </w:p>
        </w:tc>
        <w:tc>
          <w:tcPr>
            <w:tcW w:w="1134" w:type="dxa"/>
          </w:tcPr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7536E9" w:rsidRPr="009C47B5" w:rsidTr="007536E9">
        <w:trPr>
          <w:cantSplit/>
        </w:trPr>
        <w:tc>
          <w:tcPr>
            <w:tcW w:w="14317" w:type="dxa"/>
            <w:gridSpan w:val="6"/>
            <w:shd w:val="clear" w:color="auto" w:fill="D9D9D9" w:themeFill="background1" w:themeFillShade="D9"/>
          </w:tcPr>
          <w:p w:rsidR="007536E9" w:rsidRPr="009C47B5" w:rsidRDefault="007536E9" w:rsidP="00500526">
            <w:pPr>
              <w:spacing w:line="120" w:lineRule="atLeast"/>
              <w:rPr>
                <w:rFonts w:asciiTheme="majorHAnsi" w:hAnsiTheme="majorHAnsi"/>
                <w:b/>
                <w:szCs w:val="22"/>
              </w:rPr>
            </w:pPr>
            <w:r w:rsidRPr="009C47B5">
              <w:rPr>
                <w:rFonts w:asciiTheme="majorHAnsi" w:hAnsiTheme="majorHAnsi"/>
                <w:b/>
                <w:szCs w:val="22"/>
              </w:rPr>
              <w:t xml:space="preserve">4. </w:t>
            </w:r>
            <w:r w:rsidRPr="009C47B5">
              <w:rPr>
                <w:rFonts w:asciiTheme="majorHAnsi" w:hAnsiTheme="majorHAnsi"/>
                <w:b/>
                <w:caps/>
                <w:szCs w:val="22"/>
              </w:rPr>
              <w:t xml:space="preserve">FunkcjE 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70354E">
              <w:rPr>
                <w:rFonts w:asciiTheme="majorHAnsi" w:hAnsiTheme="majorHAnsi"/>
                <w:sz w:val="22"/>
                <w:szCs w:val="22"/>
              </w:rPr>
              <w:t>1. Pojęcie funkcji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funkcji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sposoby opisywania funkcji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pojęcia: dziedzina, argument, przeciwdziedzina, wartość funkcji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definicja miejsca zerowego funkcji 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stosuje pojęcia: funkcja, argument, dziedzina, wartość funkcji, miejsce zerowe funkcji 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rozpoznaje wśród danych </w:t>
            </w:r>
            <w:proofErr w:type="spellStart"/>
            <w:r w:rsidRPr="00BC2821">
              <w:rPr>
                <w:rFonts w:asciiTheme="majorHAnsi" w:hAnsiTheme="majorHAnsi"/>
                <w:sz w:val="22"/>
                <w:szCs w:val="22"/>
              </w:rPr>
              <w:t>przyporządkowań</w:t>
            </w:r>
            <w:proofErr w:type="spellEnd"/>
            <w:r w:rsidRPr="00BC2821">
              <w:rPr>
                <w:rFonts w:asciiTheme="majorHAnsi" w:hAnsiTheme="majorHAnsi"/>
                <w:sz w:val="22"/>
                <w:szCs w:val="22"/>
              </w:rPr>
              <w:t xml:space="preserve"> te, które opisują funkcje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miejsca zerowe funkcji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opisuje funkcję różnymi sposobami: za pomocą grafu, tabeli, opisu słownego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odczytuje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wartość funkcji dla danego argumentu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odczytuje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argumenty, dla których funkcja przyjmuje określoną wartość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2. Szkicowanie wykresu funkcji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</w:tc>
        <w:tc>
          <w:tcPr>
            <w:tcW w:w="3685" w:type="dxa"/>
            <w:gridSpan w:val="2"/>
          </w:tcPr>
          <w:p w:rsidR="007536E9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wykres funkcji</w:t>
            </w:r>
          </w:p>
          <w:p w:rsidR="007536E9" w:rsidRPr="00BC2821" w:rsidRDefault="007536E9" w:rsidP="00500526">
            <w:pPr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szkicuje wykres funkcji </w:t>
            </w:r>
            <w:r>
              <w:rPr>
                <w:rFonts w:asciiTheme="majorHAnsi" w:hAnsiTheme="majorHAnsi"/>
                <w:sz w:val="22"/>
                <w:szCs w:val="22"/>
              </w:rPr>
              <w:t>opisanej słownie, tabelą lub grafem w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>podane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j dziedzinie</w:t>
            </w:r>
          </w:p>
          <w:p w:rsidR="007536E9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przedstawia funkcję za pomocą wzoru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 wartość funkcji dla danego argumentu</w:t>
            </w:r>
          </w:p>
          <w:p w:rsidR="007536E9" w:rsidRPr="00904AAA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szkicuje wykres funkcji określonej nieskomplikowanym wzorem </w:t>
            </w:r>
            <w:r>
              <w:rPr>
                <w:rFonts w:asciiTheme="majorHAnsi" w:hAnsiTheme="majorHAnsi"/>
                <w:sz w:val="22"/>
                <w:szCs w:val="22"/>
              </w:rPr>
              <w:t>w podanej dziedzinie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3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Szkicowanie wykresu funkcji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wykres funkcji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szkicuje wykres funkcji określonej różnymi wzorami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w różnych przedziałach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sprawdza, czy dany punkt należy do wykresu funkcji</w:t>
            </w:r>
          </w:p>
          <w:p w:rsidR="007536E9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rozpoznaje</w:t>
            </w:r>
            <w:r>
              <w:rPr>
                <w:rFonts w:asciiTheme="majorHAnsi" w:hAnsiTheme="majorHAnsi"/>
                <w:sz w:val="22"/>
                <w:szCs w:val="22"/>
              </w:rPr>
              <w:t>,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czy dana krzywa jest wykresem funkcji</w:t>
            </w:r>
          </w:p>
          <w:p w:rsidR="007536E9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3A6D2B">
              <w:rPr>
                <w:rFonts w:asciiTheme="majorHAnsi" w:hAnsiTheme="majorHAnsi"/>
                <w:sz w:val="22"/>
                <w:szCs w:val="22"/>
              </w:rPr>
              <w:t>oblicza wartość funkcji dla danego argumentu</w:t>
            </w:r>
          </w:p>
          <w:p w:rsidR="007536E9" w:rsidRPr="003A6D2B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5B47CF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szkicuje wykres funkcji określonej 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>podanym</w:t>
            </w:r>
            <w:r w:rsidRPr="005B47CF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wzorem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 w podanej dziedzinie</w:t>
            </w:r>
            <w:r w:rsidRPr="005B47CF">
              <w:rPr>
                <w:rFonts w:asciiTheme="majorHAnsi" w:hAnsiTheme="majorHAnsi"/>
                <w:color w:val="000000"/>
                <w:sz w:val="22"/>
                <w:szCs w:val="22"/>
              </w:rPr>
              <w:t xml:space="preserve">, </w:t>
            </w:r>
            <w:r>
              <w:rPr>
                <w:rFonts w:asciiTheme="majorHAnsi" w:hAnsiTheme="majorHAnsi"/>
                <w:color w:val="000000"/>
                <w:sz w:val="22"/>
                <w:szCs w:val="22"/>
              </w:rPr>
              <w:t>gdy wykres jest podzbiorem prostej lub paraboli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before="40"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</w:t>
            </w: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</w:t>
            </w:r>
            <w:r>
              <w:rPr>
                <w:rFonts w:asciiTheme="majorHAnsi" w:hAnsiTheme="majorHAnsi"/>
                <w:sz w:val="22"/>
                <w:szCs w:val="22"/>
              </w:rPr>
              <w:t>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Monotoniczność funkcji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definicje: funkcji rosnącej, malejącej i stałej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pojęcie funkcji monotonicznej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definicje: funkcji nierosnącej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i niemalejącej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pojęcie funkcji przedziałami monotonicznej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pojęcie funkcji monotonicznej (rosnącej, malejącej, stałej, nierosnącej, niemalejącej)</w:t>
            </w:r>
          </w:p>
          <w:p w:rsidR="007536E9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na podstawie wykresu funkcji określa jej monotoniczność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odczytuje z wykresu funkcji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maksymalne przedziały monotoniczności 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rysuje wykres funkcji o zadanych kryteriach monotoniczności</w:t>
            </w:r>
          </w:p>
          <w:p w:rsidR="007536E9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bada na podstawie definicji monotoniczność funkcji określonej wzorem 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dobiera odpowiednio argumenty, aby uzasadnić, że funkcja nie jest monotoniczna 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</w:t>
            </w:r>
            <w:r>
              <w:rPr>
                <w:rFonts w:asciiTheme="majorHAnsi" w:hAnsiTheme="majorHAnsi"/>
                <w:sz w:val="22"/>
                <w:szCs w:val="22"/>
              </w:rPr>
              <w:t>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–W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Odczytywanie własności funkcji z wykresu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zbiór wartości funkcji</w:t>
            </w:r>
          </w:p>
          <w:p w:rsidR="007536E9" w:rsidRPr="00E23D36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największa i najmniejsza wartość funkcji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pojęcia: zbiór wartości funkcji, największa i najmniejsza wartość funkcji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odczytuje z wykresu funkcji jej dziedzinę, zbiór wartości, najmniejszą i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> 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największą wartość funkcji oraz argumenty, dla których te wartości są przyjmowane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rysuje wykres funkcji o zadanych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własnościach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K–D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6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Odczytywanie własności funkcji z wykresu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znak wartości funkcji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odczytuje z wykresu funkcji miejsca zerowe; argumenty, dla których funkcja przyjmuje wartości ujemne; argumenty, dla których funkcja przyjmuje wartości dodatnie</w:t>
            </w:r>
          </w:p>
          <w:p w:rsidR="007536E9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0F27E4">
              <w:rPr>
                <w:rFonts w:asciiTheme="majorHAnsi" w:hAnsiTheme="majorHAnsi"/>
                <w:spacing w:val="-4"/>
                <w:sz w:val="22"/>
                <w:szCs w:val="22"/>
              </w:rPr>
              <w:t>odczytuje z wykresu rozwiązania równań i nierówności</w:t>
            </w:r>
          </w:p>
          <w:p w:rsidR="007536E9" w:rsidRPr="000F27E4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7341E2">
              <w:rPr>
                <w:rFonts w:asciiTheme="majorHAnsi" w:hAnsiTheme="majorHAnsi"/>
                <w:sz w:val="22"/>
                <w:szCs w:val="22"/>
              </w:rPr>
              <w:t>odczytuje z wykresów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odpowiednich 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 xml:space="preserve">funkcji rozwiązania równań i nierówności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np. 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f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>(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x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 xml:space="preserve">) = 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g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>(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x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f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>(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x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>)&lt;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g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>(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x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 xml:space="preserve">), 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f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>(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x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>)&gt;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g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>(</w:t>
            </w:r>
            <w:r w:rsidRPr="007341E2">
              <w:rPr>
                <w:rFonts w:asciiTheme="majorHAnsi" w:hAnsiTheme="majorHAnsi"/>
                <w:i/>
                <w:iCs/>
                <w:sz w:val="22"/>
                <w:szCs w:val="22"/>
              </w:rPr>
              <w:t>x</w:t>
            </w:r>
            <w:r w:rsidRPr="007341E2">
              <w:rPr>
                <w:rFonts w:asciiTheme="majorHAnsi" w:hAnsiTheme="majorHAnsi"/>
                <w:sz w:val="22"/>
                <w:szCs w:val="22"/>
              </w:rPr>
              <w:t>)</w:t>
            </w:r>
          </w:p>
        </w:tc>
        <w:tc>
          <w:tcPr>
            <w:tcW w:w="1134" w:type="dxa"/>
          </w:tcPr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K–D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. Przesuwanie wykresu wzdłuż osi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OY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metoda otrzymywania wykresów funkcji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y </w:t>
            </w:r>
            <w:r w:rsidRPr="00544248">
              <w:rPr>
                <w:rFonts w:asciiTheme="majorHAnsi" w:hAnsiTheme="majorHAnsi"/>
                <w:sz w:val="22"/>
                <w:szCs w:val="22"/>
              </w:rPr>
              <w:t>=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 f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x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)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+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q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dla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q &gt;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0 </w:t>
            </w:r>
          </w:p>
          <w:p w:rsidR="007536E9" w:rsidRPr="00BC2821" w:rsidRDefault="007536E9" w:rsidP="00500526">
            <w:pPr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oraz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y </w:t>
            </w:r>
            <w:r w:rsidRPr="00544248">
              <w:rPr>
                <w:rFonts w:asciiTheme="majorHAnsi" w:hAnsiTheme="majorHAnsi"/>
                <w:sz w:val="22"/>
                <w:szCs w:val="22"/>
              </w:rPr>
              <w:t xml:space="preserve">=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f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x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)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 – q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dla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 q &gt;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0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544248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rysuje wykresy funkcji:</w:t>
            </w:r>
          </w:p>
          <w:p w:rsidR="007536E9" w:rsidRDefault="007536E9" w:rsidP="00500526">
            <w:pPr>
              <w:spacing w:line="120" w:lineRule="atLeast"/>
              <w:ind w:left="360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y </w:t>
            </w:r>
            <w:r w:rsidRPr="00544248">
              <w:rPr>
                <w:rFonts w:asciiTheme="majorHAnsi" w:hAnsiTheme="majorHAnsi"/>
                <w:sz w:val="22"/>
                <w:szCs w:val="22"/>
              </w:rPr>
              <w:t>=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 f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x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)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+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q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dla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q &gt;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0 oraz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y </w:t>
            </w:r>
            <w:r w:rsidRPr="00544248">
              <w:rPr>
                <w:rFonts w:asciiTheme="majorHAnsi" w:hAnsiTheme="majorHAnsi"/>
                <w:sz w:val="22"/>
                <w:szCs w:val="22"/>
              </w:rPr>
              <w:t>=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 f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x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)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 – q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dla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 q &gt;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0</w:t>
            </w:r>
          </w:p>
          <w:p w:rsidR="007536E9" w:rsidRPr="004E6F8D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iCs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stosuje przesunięcie wykresu funkcji do rozwiązywania zadań  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before="1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before="12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. Przesuwanie wykresu wzdłuż osi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OX</w:t>
            </w:r>
          </w:p>
        </w:tc>
        <w:tc>
          <w:tcPr>
            <w:tcW w:w="3685" w:type="dxa"/>
            <w:gridSpan w:val="2"/>
          </w:tcPr>
          <w:p w:rsidR="007536E9" w:rsidRPr="00266F07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metoda otrzymywania wykresów funkcji</w:t>
            </w:r>
            <w:r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y </w:t>
            </w:r>
            <w:r w:rsidRPr="00CC03A7">
              <w:rPr>
                <w:rFonts w:asciiTheme="majorHAnsi" w:hAnsiTheme="majorHAnsi"/>
                <w:spacing w:val="-4"/>
                <w:sz w:val="22"/>
                <w:szCs w:val="22"/>
              </w:rPr>
              <w:t>=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 f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>x – p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) dla 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p &gt; 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0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br/>
              <w:t xml:space="preserve">oraz 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y </w:t>
            </w:r>
            <w:r w:rsidRPr="00CC03A7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= 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>f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>x + p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) dla 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p &gt; 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0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metoda otrzymywania wykresów funkcji</w:t>
            </w:r>
            <w:r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y </w:t>
            </w:r>
            <w:r w:rsidRPr="00CC03A7">
              <w:rPr>
                <w:rFonts w:asciiTheme="majorHAnsi" w:hAnsiTheme="majorHAnsi"/>
                <w:spacing w:val="-4"/>
                <w:sz w:val="22"/>
                <w:szCs w:val="22"/>
              </w:rPr>
              <w:t>=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 f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>x – p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)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+ </w:t>
            </w:r>
            <w:r>
              <w:rPr>
                <w:rFonts w:asciiTheme="majorHAnsi" w:hAnsiTheme="majorHAnsi"/>
                <w:i/>
                <w:iCs/>
                <w:spacing w:val="-4"/>
                <w:sz w:val="22"/>
                <w:szCs w:val="22"/>
              </w:rPr>
              <w:t>q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266F07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rysuje wykresy funkcji: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 y </w:t>
            </w:r>
            <w:r w:rsidRPr="00CC03A7">
              <w:rPr>
                <w:rFonts w:asciiTheme="majorHAnsi" w:hAnsiTheme="majorHAnsi"/>
                <w:spacing w:val="-4"/>
                <w:sz w:val="22"/>
                <w:szCs w:val="22"/>
              </w:rPr>
              <w:t>=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 f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>x – p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) dla 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p &gt; 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0 oraz 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>y </w:t>
            </w:r>
            <w:r w:rsidRPr="00CC03A7">
              <w:rPr>
                <w:rFonts w:asciiTheme="majorHAnsi" w:hAnsiTheme="majorHAnsi"/>
                <w:spacing w:val="-4"/>
                <w:sz w:val="22"/>
                <w:szCs w:val="22"/>
              </w:rPr>
              <w:t>=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> f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>x + p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)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dla 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p &gt; 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0</w:t>
            </w:r>
          </w:p>
          <w:p w:rsidR="007536E9" w:rsidRPr="004E6F8D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rysuje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wykres funkcji</w:t>
            </w:r>
            <w:r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y </w:t>
            </w:r>
            <w:r w:rsidRPr="00CC03A7">
              <w:rPr>
                <w:rFonts w:asciiTheme="majorHAnsi" w:hAnsiTheme="majorHAnsi"/>
                <w:spacing w:val="-4"/>
                <w:sz w:val="22"/>
                <w:szCs w:val="22"/>
              </w:rPr>
              <w:t>=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 xml:space="preserve"> f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(</w:t>
            </w:r>
            <w:r w:rsidRPr="00BC2821">
              <w:rPr>
                <w:rFonts w:asciiTheme="majorHAnsi" w:hAnsiTheme="majorHAnsi"/>
                <w:i/>
                <w:spacing w:val="-4"/>
                <w:sz w:val="22"/>
                <w:szCs w:val="22"/>
              </w:rPr>
              <w:t>x – p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)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+ </w:t>
            </w:r>
            <w:r>
              <w:rPr>
                <w:rFonts w:asciiTheme="majorHAnsi" w:hAnsiTheme="majorHAnsi"/>
                <w:i/>
                <w:iCs/>
                <w:spacing w:val="-4"/>
                <w:sz w:val="22"/>
                <w:szCs w:val="22"/>
              </w:rPr>
              <w:t>q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stosuje przesunięcie wykresu funkcji do rozwiązywania zadań  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P–R 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  <w:tcBorders>
              <w:bottom w:val="single" w:sz="6" w:space="0" w:color="auto"/>
            </w:tcBorders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9. Proporcjonalność odwrotna</w:t>
            </w:r>
          </w:p>
        </w:tc>
        <w:tc>
          <w:tcPr>
            <w:tcW w:w="3685" w:type="dxa"/>
            <w:gridSpan w:val="2"/>
            <w:tcBorders>
              <w:bottom w:val="single" w:sz="6" w:space="0" w:color="auto"/>
            </w:tcBorders>
          </w:tcPr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pojęcie proporcjonalności odwrotnej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współczynnik proporcjonalności odwrotnej</w:t>
            </w:r>
          </w:p>
        </w:tc>
        <w:tc>
          <w:tcPr>
            <w:tcW w:w="6734" w:type="dxa"/>
            <w:tcBorders>
              <w:bottom w:val="single" w:sz="6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współczynnik proporcjonalności odwrotnej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szkicuje wykres funkcji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, gdzie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a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&gt; 0 i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x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&gt; 0</w:t>
            </w:r>
          </w:p>
          <w:p w:rsidR="007536E9" w:rsidRPr="00BC2821" w:rsidRDefault="007536E9" w:rsidP="00500526">
            <w:pPr>
              <w:numPr>
                <w:ilvl w:val="0"/>
                <w:numId w:val="25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proporcjonalność odwrotną do rozwiązywania zadań, np. dotyczących drogi, prędkości i czasu</w:t>
            </w: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</w:tc>
      </w:tr>
      <w:tr w:rsidR="007536E9" w:rsidRPr="009C47B5" w:rsidTr="007536E9">
        <w:trPr>
          <w:cantSplit/>
        </w:trPr>
        <w:tc>
          <w:tcPr>
            <w:tcW w:w="14317" w:type="dxa"/>
            <w:gridSpan w:val="6"/>
            <w:shd w:val="clear" w:color="auto" w:fill="D9D9D9" w:themeFill="background1" w:themeFillShade="D9"/>
          </w:tcPr>
          <w:p w:rsidR="007536E9" w:rsidRPr="009C47B5" w:rsidRDefault="007536E9" w:rsidP="00500526">
            <w:pPr>
              <w:spacing w:line="120" w:lineRule="atLeast"/>
              <w:rPr>
                <w:rFonts w:asciiTheme="majorHAnsi" w:hAnsiTheme="majorHAnsi"/>
                <w:szCs w:val="22"/>
              </w:rPr>
            </w:pPr>
            <w:r w:rsidRPr="009C47B5">
              <w:rPr>
                <w:rFonts w:asciiTheme="majorHAnsi" w:hAnsiTheme="majorHAnsi"/>
                <w:b/>
                <w:szCs w:val="22"/>
              </w:rPr>
              <w:t xml:space="preserve">5. </w:t>
            </w:r>
            <w:r w:rsidRPr="009C47B5">
              <w:rPr>
                <w:rFonts w:asciiTheme="majorHAnsi" w:hAnsiTheme="majorHAnsi"/>
                <w:b/>
                <w:caps/>
                <w:szCs w:val="22"/>
              </w:rPr>
              <w:t>FunkcjA LiNIOWA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lastRenderedPageBreak/>
              <w:t>1. Wykres funkcji liniowej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funkcji liniowej</w:t>
            </w:r>
          </w:p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wykres funkcji liniowej</w:t>
            </w:r>
          </w:p>
          <w:p w:rsidR="007536E9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współczynnik kierunkowy prostej</w:t>
            </w:r>
          </w:p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wyraz wolny</w:t>
            </w:r>
          </w:p>
          <w:p w:rsidR="007536E9" w:rsidRPr="00DE7413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warunek równoległości prostych</w:t>
            </w:r>
          </w:p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punkt przecięcia wykresu funkcji liniowej z osią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OY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DE7413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 xml:space="preserve">rozpoznaje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wzór 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>funkcj</w:t>
            </w:r>
            <w:r>
              <w:rPr>
                <w:rFonts w:asciiTheme="majorHAnsi" w:hAnsiTheme="majorHAnsi"/>
                <w:sz w:val="22"/>
                <w:szCs w:val="22"/>
              </w:rPr>
              <w:t>i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liniow</w:t>
            </w:r>
            <w:r>
              <w:rPr>
                <w:rFonts w:asciiTheme="majorHAnsi" w:hAnsiTheme="majorHAnsi"/>
                <w:sz w:val="22"/>
                <w:szCs w:val="22"/>
              </w:rPr>
              <w:t>ej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oraz szkicuje jej wykres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interpretuje współczynniki występujące we wzorze funkcji liniowej i wskazuje wśród danych wzorów funkcji liniowych te, których wykresy są równoległe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wzór funkcji liniowej, której wykres jest równoległy do wykresu danej funkcji liniowej i</w:t>
            </w:r>
            <w:r>
              <w:rPr>
                <w:rFonts w:asciiTheme="majorHAnsi" w:hAnsiTheme="majorHAnsi"/>
                <w:sz w:val="22"/>
                <w:szCs w:val="22"/>
              </w:rPr>
              <w:t> 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przechodzi przez dany punkt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sprawdza, czy punkt należy do wykresu funkcji liniowej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korzysta z warunku równoległości prostych do wyznaczenie równania prostych zawierających równoległe boki równoległoboków, trapezów</w:t>
            </w:r>
          </w:p>
        </w:tc>
        <w:tc>
          <w:tcPr>
            <w:tcW w:w="1134" w:type="dxa"/>
          </w:tcPr>
          <w:p w:rsidR="007536E9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K–P 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2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Wykres funkcji liniowej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pojęcia: pęk prostych, środek pęku</w:t>
            </w:r>
          </w:p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punkt przecięcia wykresu funkcji liniowej z osią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OY</w:t>
            </w:r>
          </w:p>
        </w:tc>
        <w:tc>
          <w:tcPr>
            <w:tcW w:w="6734" w:type="dxa"/>
          </w:tcPr>
          <w:p w:rsidR="007536E9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interpretuje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wyraz wolny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występując</w:t>
            </w:r>
            <w:r>
              <w:rPr>
                <w:rFonts w:asciiTheme="majorHAnsi" w:hAnsiTheme="majorHAnsi"/>
                <w:sz w:val="22"/>
                <w:szCs w:val="22"/>
              </w:rPr>
              <w:t>y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we wzorze funkcji liniowej i wskazuje wśród danych wzorów funkcji liniowych te, których wykresy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przecinają oś </w:t>
            </w:r>
            <w:r>
              <w:rPr>
                <w:rFonts w:asciiTheme="majorHAnsi" w:hAnsiTheme="majorHAnsi"/>
                <w:i/>
                <w:iCs/>
                <w:sz w:val="22"/>
                <w:szCs w:val="22"/>
              </w:rPr>
              <w:t xml:space="preserve">OY </w:t>
            </w:r>
            <w:r>
              <w:rPr>
                <w:rFonts w:asciiTheme="majorHAnsi" w:hAnsiTheme="majorHAnsi"/>
                <w:sz w:val="22"/>
                <w:szCs w:val="22"/>
              </w:rPr>
              <w:t>w tym samym punkcie</w:t>
            </w:r>
          </w:p>
          <w:p w:rsidR="007536E9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wzór funkcji liniowej, której wykres przechodzi przez dan</w:t>
            </w:r>
            <w:r>
              <w:rPr>
                <w:rFonts w:asciiTheme="majorHAnsi" w:hAnsiTheme="majorHAnsi"/>
                <w:sz w:val="22"/>
                <w:szCs w:val="22"/>
              </w:rPr>
              <w:t>e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dwa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punkt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, z których jednym jest punktem przecięcia wykresu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z osią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OY</w:t>
            </w:r>
          </w:p>
          <w:p w:rsidR="007536E9" w:rsidRPr="0089099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890991">
              <w:rPr>
                <w:rFonts w:asciiTheme="majorHAnsi" w:hAnsiTheme="majorHAnsi"/>
                <w:sz w:val="22"/>
                <w:szCs w:val="22"/>
              </w:rPr>
              <w:t>stosuje własności funkcji liniowej do obliczania pól wielokątów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3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Własności funkcji liniowej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miejsce zerowe funkcji liniowej</w:t>
            </w:r>
          </w:p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monotoniczność funkcji liniowej</w:t>
            </w:r>
          </w:p>
          <w:p w:rsidR="007536E9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proporcjonalność prosta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wyznacza miejsce zerowe i określa monotoniczność funkcji liniowej danej wzorem</w:t>
            </w:r>
          </w:p>
          <w:p w:rsidR="007536E9" w:rsidRPr="008F6FEF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wyznacza współrzędne punktów, w których wykres funkcji liniowej przecina osie układu współrzędnych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>,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oraz podaje, w których ćwiartkach układu znajduje się wykres </w:t>
            </w:r>
          </w:p>
          <w:p w:rsidR="007536E9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pacing w:val="-4"/>
                <w:sz w:val="22"/>
                <w:szCs w:val="22"/>
              </w:rPr>
              <w:t xml:space="preserve">zna i stosuje zależność między współczynnikami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występując</w:t>
            </w:r>
            <w:r>
              <w:rPr>
                <w:rFonts w:asciiTheme="majorHAnsi" w:hAnsiTheme="majorHAnsi"/>
                <w:sz w:val="22"/>
                <w:szCs w:val="22"/>
              </w:rPr>
              <w:t>ymi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we wzorze funkcji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liniowej a liczbą jej miejsc zerowych</w:t>
            </w:r>
          </w:p>
          <w:p w:rsidR="007536E9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podaje znaki współczynników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występując</w:t>
            </w:r>
            <w:r>
              <w:rPr>
                <w:rFonts w:asciiTheme="majorHAnsi" w:hAnsiTheme="majorHAnsi"/>
                <w:sz w:val="22"/>
                <w:szCs w:val="22"/>
              </w:rPr>
              <w:t>ych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we wzorze funkcji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liniowej na podstawie jej wykresu</w:t>
            </w:r>
          </w:p>
          <w:p w:rsidR="007536E9" w:rsidRPr="008F6FEF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wyznacza wzór funkcji liniowej o zadanych własnościach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określa monotoniczność funkcji liniowej w zależności od parametru</w:t>
            </w:r>
          </w:p>
          <w:p w:rsidR="007536E9" w:rsidRPr="008F6FEF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rozpoznaje wielkości wprost i odwrotnie proporcjonalnie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pacing w:val="-4"/>
                <w:sz w:val="22"/>
                <w:szCs w:val="22"/>
              </w:rPr>
              <w:t>wyznacza wzór proporcjonalności prostej, gdy dany jest punkt należący do jej wykresu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Pr="00BC2821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D</w:t>
            </w:r>
          </w:p>
          <w:p w:rsidR="007536E9" w:rsidRPr="00BC2821" w:rsidRDefault="007536E9" w:rsidP="00500526">
            <w:pPr>
              <w:spacing w:line="120" w:lineRule="atLeast"/>
              <w:ind w:left="360" w:hanging="360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D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K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4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Równanie prostej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na płaszczyźnie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równanie kierunkowe prostej</w:t>
            </w:r>
          </w:p>
          <w:p w:rsidR="007536E9" w:rsidRPr="00BC2821" w:rsidRDefault="007536E9" w:rsidP="00500526">
            <w:pPr>
              <w:numPr>
                <w:ilvl w:val="0"/>
                <w:numId w:val="28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równanie ogólne prostej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równanie kierunkowe i ogólne prostej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zamienia równanie ogólne prostej, która nie jest równoległa do osi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OY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, na równanie w postaci kierunkowej (i odwrotnie)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 równanie prostej przechodzącej przez dwa dane punkty</w:t>
            </w:r>
          </w:p>
          <w:p w:rsidR="007536E9" w:rsidRPr="00BC2821" w:rsidRDefault="007536E9" w:rsidP="00500526">
            <w:pPr>
              <w:numPr>
                <w:ilvl w:val="0"/>
                <w:numId w:val="29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rysuje prostą opisaną równaniem ogólnym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360" w:hanging="29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360" w:hanging="292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ind w:left="-2160" w:hanging="292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ind w:left="357" w:hanging="289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before="40" w:line="120" w:lineRule="atLeast"/>
              <w:ind w:left="357" w:hanging="289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before="40" w:line="120" w:lineRule="atLeast"/>
              <w:ind w:left="357" w:hanging="289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5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Współczynnik kierunkowy prostej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i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30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współczynnik kierunkowy prostej przechodzącej przez dwa dane punkty</w:t>
            </w:r>
          </w:p>
          <w:p w:rsidR="007536E9" w:rsidRPr="00BC2821" w:rsidRDefault="007536E9" w:rsidP="00500526">
            <w:pPr>
              <w:numPr>
                <w:ilvl w:val="0"/>
                <w:numId w:val="30"/>
              </w:numPr>
              <w:spacing w:line="120" w:lineRule="atLeast"/>
              <w:rPr>
                <w:rFonts w:asciiTheme="majorHAnsi" w:hAnsiTheme="majorHAnsi"/>
                <w:b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interpretacja geometryczna współczynnika kierunkowego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122A7C" w:rsidRDefault="007536E9" w:rsidP="00500526">
            <w:pPr>
              <w:numPr>
                <w:ilvl w:val="0"/>
                <w:numId w:val="31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oblicza współczynnik kierunkowy prostej,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jeśli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ma dane współrzędne dwóch punktów należących do tej prostej </w:t>
            </w:r>
          </w:p>
          <w:p w:rsidR="007536E9" w:rsidRPr="00BC2821" w:rsidRDefault="007536E9" w:rsidP="00500526">
            <w:pPr>
              <w:numPr>
                <w:ilvl w:val="0"/>
                <w:numId w:val="31"/>
              </w:numPr>
              <w:spacing w:line="120" w:lineRule="atLeast"/>
              <w:rPr>
                <w:rFonts w:asciiTheme="majorHAnsi" w:hAnsiTheme="majorHAnsi"/>
                <w:i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szkicuje prostą, wykorzystując interpretację współczynnika kierunkowego</w:t>
            </w:r>
          </w:p>
          <w:p w:rsidR="007536E9" w:rsidRPr="00BC2821" w:rsidRDefault="007536E9" w:rsidP="00500526">
            <w:pPr>
              <w:numPr>
                <w:ilvl w:val="0"/>
                <w:numId w:val="31"/>
              </w:numPr>
              <w:spacing w:line="120" w:lineRule="atLeast"/>
              <w:rPr>
                <w:rFonts w:asciiTheme="majorHAnsi" w:hAnsiTheme="majorHAnsi"/>
                <w:i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odczytuje wartość współczynnika kierunkowego, 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jeśli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ma dany wykres</w:t>
            </w:r>
          </w:p>
          <w:p w:rsidR="007536E9" w:rsidRPr="00BC2821" w:rsidRDefault="007536E9" w:rsidP="00500526">
            <w:pPr>
              <w:numPr>
                <w:ilvl w:val="0"/>
                <w:numId w:val="31"/>
              </w:numPr>
              <w:spacing w:line="120" w:lineRule="atLeast"/>
              <w:rPr>
                <w:rFonts w:asciiTheme="majorHAnsi" w:hAnsiTheme="majorHAnsi"/>
                <w:i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wyprowadza wzór na współczynnik kierunkowy prostej przechodzącej przez dwa dane punkty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</w:t>
            </w: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lastRenderedPageBreak/>
              <w:t>6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Warunek prostopadłości prostych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3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warunek prostopadłości prostych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o danych równaniach kierunkowych</w:t>
            </w:r>
          </w:p>
          <w:p w:rsidR="007536E9" w:rsidRPr="00BC2821" w:rsidRDefault="007536E9" w:rsidP="00500526">
            <w:pPr>
              <w:numPr>
                <w:ilvl w:val="0"/>
                <w:numId w:val="32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wyznaczanie równania prostej prostopadłej do danej prostej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Default="007536E9" w:rsidP="00500526">
            <w:pPr>
              <w:numPr>
                <w:ilvl w:val="0"/>
                <w:numId w:val="3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warunek prostopadłości prostych o danych równaniach kierunkowych</w:t>
            </w:r>
          </w:p>
          <w:p w:rsidR="007536E9" w:rsidRPr="00BC2821" w:rsidRDefault="007536E9" w:rsidP="00500526">
            <w:pPr>
              <w:numPr>
                <w:ilvl w:val="0"/>
                <w:numId w:val="3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stosuje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warunek prostopadłości prostych o danych równaniach kierunkowych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do sprawdzania prostopadłości tych prostych</w:t>
            </w:r>
          </w:p>
          <w:p w:rsidR="007536E9" w:rsidRPr="00BC2821" w:rsidRDefault="007536E9" w:rsidP="00500526">
            <w:pPr>
              <w:numPr>
                <w:ilvl w:val="0"/>
                <w:numId w:val="3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wyznacza równanie prostej prostopadłej do danej prostej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i przechodzącej przez dany punkt</w:t>
            </w:r>
          </w:p>
          <w:p w:rsidR="007536E9" w:rsidRPr="00BC2821" w:rsidRDefault="007536E9" w:rsidP="00500526">
            <w:pPr>
              <w:numPr>
                <w:ilvl w:val="0"/>
                <w:numId w:val="3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</w:t>
            </w:r>
            <w:r>
              <w:rPr>
                <w:rFonts w:asciiTheme="majorHAnsi" w:hAnsiTheme="majorHAnsi"/>
                <w:sz w:val="22"/>
                <w:szCs w:val="22"/>
              </w:rPr>
              <w:t>dowa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dnia warunek prostopadłości prostych o danych równaniach kierunkowych</w:t>
            </w:r>
          </w:p>
          <w:p w:rsidR="007536E9" w:rsidRPr="00BC2821" w:rsidRDefault="007536E9" w:rsidP="00500526">
            <w:pPr>
              <w:numPr>
                <w:ilvl w:val="0"/>
                <w:numId w:val="33"/>
              </w:num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rozpoznaje wzajemne położenie prostych na płaszczyźnie na podstawie ich równań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D–W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7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Interpretacja geometryczna układu równań liniowych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36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interpretacja geometryczna układu oznaczonego, sprzecznego i nieoznaczonego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2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36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pacing w:val="-2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2"/>
                <w:sz w:val="22"/>
                <w:szCs w:val="22"/>
              </w:rPr>
              <w:t>interpretuje geometrycznie układ równań</w:t>
            </w:r>
          </w:p>
          <w:p w:rsidR="007536E9" w:rsidRPr="00BC2821" w:rsidRDefault="007536E9" w:rsidP="00500526">
            <w:pPr>
              <w:numPr>
                <w:ilvl w:val="0"/>
                <w:numId w:val="36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rozwiązuje układ równań metodą algebraiczną i </w:t>
            </w:r>
            <w:r>
              <w:rPr>
                <w:rFonts w:asciiTheme="majorHAnsi" w:hAnsiTheme="majorHAnsi"/>
                <w:sz w:val="22"/>
                <w:szCs w:val="22"/>
              </w:rPr>
              <w:t>metodą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graficzną</w:t>
            </w:r>
          </w:p>
          <w:p w:rsidR="007536E9" w:rsidRDefault="007536E9" w:rsidP="00500526">
            <w:pPr>
              <w:numPr>
                <w:ilvl w:val="0"/>
                <w:numId w:val="36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wykorzystuje związek między liczbą rozwiązań układu równań a</w:t>
            </w:r>
            <w:r>
              <w:rPr>
                <w:rFonts w:asciiTheme="majorHAnsi" w:hAnsiTheme="majorHAnsi"/>
                <w:sz w:val="22"/>
                <w:szCs w:val="22"/>
              </w:rPr>
              <w:t> 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położeniem prostych</w:t>
            </w:r>
          </w:p>
          <w:p w:rsidR="007536E9" w:rsidRPr="00BC2821" w:rsidRDefault="007536E9" w:rsidP="00500526">
            <w:pPr>
              <w:numPr>
                <w:ilvl w:val="0"/>
                <w:numId w:val="36"/>
              </w:numPr>
              <w:tabs>
                <w:tab w:val="clear" w:pos="720"/>
                <w:tab w:val="num" w:pos="355"/>
              </w:tabs>
              <w:spacing w:line="120" w:lineRule="atLeast"/>
              <w:ind w:left="355" w:hanging="355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stosuje układy równań do wyznaczania współrzędnych wierzchołków wielokątów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-10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ind w:left="-100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8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. Funkcja liniowa – zastosowania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38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tworzenie modelu matematycznego opisującego przedstawione zagadnienie praktyczne</w:t>
            </w:r>
          </w:p>
          <w:p w:rsidR="007536E9" w:rsidRPr="00BC2821" w:rsidRDefault="007536E9" w:rsidP="00500526">
            <w:pPr>
              <w:tabs>
                <w:tab w:val="num" w:pos="357"/>
              </w:tabs>
              <w:spacing w:line="120" w:lineRule="atLeast"/>
              <w:ind w:left="357" w:hanging="357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38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przeprowadza analizę zadania z treścią, a następnie zapisuje odpowiednie równanie, nierówność liniową lub wzór funkcji liniowej</w:t>
            </w:r>
          </w:p>
          <w:p w:rsidR="007536E9" w:rsidRDefault="007536E9" w:rsidP="00500526">
            <w:pPr>
              <w:numPr>
                <w:ilvl w:val="0"/>
                <w:numId w:val="38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DE7413">
              <w:rPr>
                <w:rFonts w:asciiTheme="majorHAnsi" w:hAnsiTheme="majorHAnsi"/>
                <w:sz w:val="22"/>
                <w:szCs w:val="22"/>
              </w:rPr>
              <w:t>rozwiązuje ułożone przez siebie równanie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lub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nierówność</w:t>
            </w:r>
          </w:p>
          <w:p w:rsidR="007536E9" w:rsidRPr="00DE7413" w:rsidRDefault="007536E9" w:rsidP="00500526">
            <w:pPr>
              <w:numPr>
                <w:ilvl w:val="0"/>
                <w:numId w:val="38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wykorzystuje</w:t>
            </w:r>
            <w:r w:rsidRPr="00DE7413">
              <w:rPr>
                <w:rFonts w:asciiTheme="majorHAnsi" w:hAnsiTheme="majorHAnsi"/>
                <w:sz w:val="22"/>
                <w:szCs w:val="22"/>
              </w:rPr>
              <w:t xml:space="preserve"> własności funkcji liniowej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do rozwiązania zadań </w:t>
            </w:r>
          </w:p>
          <w:p w:rsidR="007536E9" w:rsidRPr="00BC2821" w:rsidRDefault="007536E9" w:rsidP="00500526">
            <w:pPr>
              <w:numPr>
                <w:ilvl w:val="0"/>
                <w:numId w:val="38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przeprowadza analizę wyniku i podaje odpowiedź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BC2821">
              <w:rPr>
                <w:rFonts w:asciiTheme="majorHAnsi" w:hAnsiTheme="majorHAnsi"/>
                <w:sz w:val="22"/>
                <w:szCs w:val="22"/>
                <w:lang w:val="en-US"/>
              </w:rPr>
              <w:t>P–D</w:t>
            </w:r>
          </w:p>
        </w:tc>
      </w:tr>
      <w:tr w:rsidR="007536E9" w:rsidRPr="009C47B5" w:rsidTr="007536E9">
        <w:trPr>
          <w:cantSplit/>
        </w:trPr>
        <w:tc>
          <w:tcPr>
            <w:tcW w:w="14317" w:type="dxa"/>
            <w:gridSpan w:val="6"/>
            <w:shd w:val="clear" w:color="auto" w:fill="D9D9D9" w:themeFill="background1" w:themeFillShade="D9"/>
          </w:tcPr>
          <w:p w:rsidR="007536E9" w:rsidRPr="009C47B5" w:rsidRDefault="007536E9" w:rsidP="00500526">
            <w:pPr>
              <w:spacing w:line="120" w:lineRule="atLeast"/>
              <w:rPr>
                <w:rFonts w:asciiTheme="majorHAnsi" w:hAnsiTheme="majorHAnsi"/>
                <w:szCs w:val="22"/>
              </w:rPr>
            </w:pPr>
            <w:r w:rsidRPr="009C47B5">
              <w:rPr>
                <w:rFonts w:asciiTheme="majorHAnsi" w:hAnsiTheme="majorHAnsi"/>
                <w:b/>
                <w:szCs w:val="22"/>
              </w:rPr>
              <w:t xml:space="preserve">6. </w:t>
            </w:r>
            <w:r w:rsidRPr="009C47B5">
              <w:rPr>
                <w:rFonts w:asciiTheme="majorHAnsi" w:hAnsiTheme="majorHAnsi"/>
                <w:b/>
                <w:caps/>
                <w:szCs w:val="22"/>
              </w:rPr>
              <w:t>Planimetria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lastRenderedPageBreak/>
              <w:t>1. Miary kątów w trójkącie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klasyfikacja trójkątów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twierdzenie o sumie miar kątów w trójkącie</w:t>
            </w:r>
          </w:p>
          <w:p w:rsidR="007536E9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dwusieczna kąta</w:t>
            </w:r>
          </w:p>
          <w:p w:rsidR="007536E9" w:rsidRPr="006A2FD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kąt zewnętrzny trójkąta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klasyfikuje trójkąty ze względu na miary ich kątów </w:t>
            </w:r>
          </w:p>
          <w:p w:rsidR="007536E9" w:rsidRPr="00A911D8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twierdzenie o sumie miar kątów wewnętrznych trójkąta do rozwiązywania zadań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pacing w:val="-4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>przeprowadza dowód twierdzenia o sumie miar kątów w trójkącie oraz</w:t>
            </w:r>
            <w:r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twierdzenia</w:t>
            </w:r>
            <w:r w:rsidRPr="00BC2821">
              <w:rPr>
                <w:rFonts w:asciiTheme="majorHAnsi" w:hAnsiTheme="majorHAnsi"/>
                <w:spacing w:val="-4"/>
                <w:sz w:val="22"/>
                <w:szCs w:val="22"/>
              </w:rPr>
              <w:t xml:space="preserve"> o mierze kąta zewnętrznego trójkąta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2. Trójkąty przystające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trójkątów przystających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cechy przystawania trójkątów</w:t>
            </w:r>
          </w:p>
          <w:p w:rsidR="007536E9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nierówność trójkąta</w:t>
            </w:r>
          </w:p>
          <w:p w:rsidR="007536E9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symetralna odcinka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definicję trójkątów przystających oraz cechy przystawania trójkątów</w:t>
            </w:r>
          </w:p>
          <w:p w:rsidR="007536E9" w:rsidRPr="00D56982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wskazuje trójkąty przystające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i podaje cechę, z której to przystawanie wynika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cechy przystawania trójkątów w zadaniach na dowodzenie</w:t>
            </w:r>
          </w:p>
          <w:p w:rsidR="007536E9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stosuje nierówność trójkąta do rozwiązywania zadań</w:t>
            </w:r>
          </w:p>
          <w:p w:rsidR="007536E9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udowadnia, że symetralne boków trójkąta przecinają się w jednym punkcie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udowadnia, że dwusieczne kątów trójkąta przecinają się w jednym punkcie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R–W</w:t>
            </w: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</w:t>
            </w: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3. Twierdzenie Talesa</w:t>
            </w:r>
          </w:p>
        </w:tc>
        <w:tc>
          <w:tcPr>
            <w:tcW w:w="3685" w:type="dxa"/>
            <w:gridSpan w:val="2"/>
          </w:tcPr>
          <w:p w:rsidR="007536E9" w:rsidRPr="00644AFB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twierdzenie Talesa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twierdzenie Talesa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wykorzystuje twierdzenie Talesa do rozwiązywania zadań</w:t>
            </w:r>
          </w:p>
          <w:p w:rsidR="007536E9" w:rsidRPr="00BC2821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wykorzystuje twierdzenie Talesa do podziału odcinka w danym stosunku</w:t>
            </w:r>
          </w:p>
          <w:p w:rsidR="007536E9" w:rsidRPr="00BC2821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przeprowadza dowód twierdzenia Talesa</w:t>
            </w:r>
          </w:p>
          <w:p w:rsidR="007536E9" w:rsidRPr="00BC2821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przeprowadza dowody twierdzeń z zastosowaniem twierdzenia Talesa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7536E9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R–D</w:t>
            </w:r>
          </w:p>
          <w:p w:rsidR="007536E9" w:rsidRPr="00BC2821" w:rsidRDefault="007536E9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D</w:t>
            </w:r>
          </w:p>
          <w:p w:rsidR="007536E9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lastRenderedPageBreak/>
              <w:t>4. Wielokąty podobne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definicja wielokątów podobnych</w:t>
            </w:r>
          </w:p>
          <w:p w:rsidR="007536E9" w:rsidRPr="00C41A9D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skala podobieństwa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rozumie pojęcie figur podobnych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oblicza długości boków </w:t>
            </w:r>
            <w:r>
              <w:rPr>
                <w:rFonts w:asciiTheme="majorHAnsi" w:hAnsiTheme="majorHAnsi"/>
                <w:sz w:val="22"/>
                <w:szCs w:val="22"/>
              </w:rPr>
              <w:t>wielokąta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podobnego do danego w danej skali</w:t>
            </w:r>
          </w:p>
          <w:p w:rsidR="007536E9" w:rsidRPr="00BC2821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przeprowadza dowody twierdzeń z zastosowaniem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podobieństwa figur</w:t>
            </w:r>
          </w:p>
          <w:p w:rsidR="007536E9" w:rsidRPr="00BC2821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udowadnia elementarne własności wielokątów podobnych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</w:t>
            </w:r>
            <w:r>
              <w:rPr>
                <w:rFonts w:asciiTheme="majorHAnsi" w:hAnsiTheme="majorHAnsi"/>
                <w:sz w:val="22"/>
                <w:szCs w:val="22"/>
              </w:rPr>
              <w:t>D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D–W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5. Trójkąty podobne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cechy podobieństwa trójkątów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podaje cechy podobieństwa trójkątów</w:t>
            </w:r>
          </w:p>
          <w:p w:rsidR="007536E9" w:rsidRPr="00652175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sprawdza, czy dane trójkąty są podobne </w:t>
            </w:r>
            <w:r>
              <w:rPr>
                <w:rFonts w:asciiTheme="majorHAnsi" w:hAnsiTheme="majorHAnsi"/>
                <w:sz w:val="22"/>
                <w:szCs w:val="22"/>
              </w:rPr>
              <w:t>i podaje cechę, z której to podobieństwo wynika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 długości boków trójkąta podobnego do danego w danej skali</w:t>
            </w:r>
          </w:p>
          <w:p w:rsidR="007536E9" w:rsidRPr="00BC2821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układa odpowiednią proporcję, aby wyznaczyć szukane długości boków trójkątów podobnych</w:t>
            </w:r>
          </w:p>
          <w:p w:rsidR="007536E9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wykorzystuje podobieństwo trójkątów do rozwiązywania zadań</w:t>
            </w:r>
          </w:p>
          <w:p w:rsidR="007536E9" w:rsidRPr="00EE6FCE" w:rsidRDefault="007536E9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stosuje podobieństwo trójkątów do dowodzenia twierdzeń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before="40"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7536E9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K–R</w:t>
            </w: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P–D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–D</w:t>
            </w: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R–W</w:t>
            </w:r>
          </w:p>
        </w:tc>
      </w:tr>
      <w:tr w:rsidR="007536E9" w:rsidRPr="00BC2821" w:rsidTr="007536E9">
        <w:trPr>
          <w:cantSplit/>
        </w:trPr>
        <w:tc>
          <w:tcPr>
            <w:tcW w:w="2764" w:type="dxa"/>
            <w:gridSpan w:val="2"/>
          </w:tcPr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6. Pola wielokątów podobnych</w:t>
            </w:r>
          </w:p>
        </w:tc>
        <w:tc>
          <w:tcPr>
            <w:tcW w:w="3685" w:type="dxa"/>
            <w:gridSpan w:val="2"/>
          </w:tcPr>
          <w:p w:rsidR="007536E9" w:rsidRPr="00BC2821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zależność między polami wielokątów podobnych a skalą podobieństwa</w:t>
            </w:r>
          </w:p>
        </w:tc>
        <w:tc>
          <w:tcPr>
            <w:tcW w:w="6734" w:type="dxa"/>
          </w:tcPr>
          <w:p w:rsidR="007536E9" w:rsidRPr="00BC2821" w:rsidRDefault="007536E9" w:rsidP="00500526">
            <w:pPr>
              <w:spacing w:line="120" w:lineRule="atLeast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7536E9" w:rsidRPr="00BC2821" w:rsidRDefault="007536E9" w:rsidP="00500526">
            <w:pPr>
              <w:numPr>
                <w:ilvl w:val="0"/>
                <w:numId w:val="46"/>
              </w:numPr>
              <w:tabs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wykorzystuje zależności między polami wielokątów podobnych a</w:t>
            </w:r>
            <w:r>
              <w:rPr>
                <w:rFonts w:asciiTheme="majorHAnsi" w:hAnsiTheme="majorHAnsi"/>
                <w:sz w:val="22"/>
                <w:szCs w:val="22"/>
              </w:rPr>
              <w:t> 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skalą podobieństwa do rozwiązywania zadań</w:t>
            </w:r>
          </w:p>
        </w:tc>
        <w:tc>
          <w:tcPr>
            <w:tcW w:w="1134" w:type="dxa"/>
          </w:tcPr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rPr>
                <w:rFonts w:asciiTheme="majorHAnsi" w:hAnsiTheme="majorHAnsi"/>
                <w:sz w:val="22"/>
                <w:szCs w:val="22"/>
              </w:rPr>
            </w:pPr>
          </w:p>
          <w:p w:rsidR="007536E9" w:rsidRPr="00BC2821" w:rsidRDefault="007536E9" w:rsidP="00500526">
            <w:pPr>
              <w:spacing w:line="120" w:lineRule="atLeast"/>
              <w:ind w:left="68"/>
              <w:jc w:val="center"/>
              <w:rPr>
                <w:rFonts w:asciiTheme="majorHAnsi" w:hAnsiTheme="majorHAnsi"/>
                <w:sz w:val="22"/>
                <w:szCs w:val="22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K–D</w:t>
            </w:r>
          </w:p>
        </w:tc>
      </w:tr>
    </w:tbl>
    <w:p w:rsidR="007536E9" w:rsidRPr="00BC2821" w:rsidRDefault="007536E9" w:rsidP="007536E9">
      <w:pPr>
        <w:spacing w:line="120" w:lineRule="atLeast"/>
        <w:rPr>
          <w:rFonts w:asciiTheme="majorHAnsi" w:hAnsiTheme="majorHAnsi"/>
          <w:sz w:val="22"/>
          <w:szCs w:val="22"/>
        </w:rPr>
      </w:pPr>
    </w:p>
    <w:p w:rsidR="00965A24" w:rsidRDefault="00965A24"/>
    <w:sectPr w:rsidR="00965A24" w:rsidSect="00A0463E">
      <w:headerReference w:type="default" r:id="rId12"/>
      <w:footerReference w:type="even" r:id="rId13"/>
      <w:footerReference w:type="default" r:id="rId14"/>
      <w:pgSz w:w="16838" w:h="11906" w:orient="landscape"/>
      <w:pgMar w:top="1418" w:right="820" w:bottom="1276" w:left="540" w:header="709" w:footer="38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CAF" w:rsidRDefault="005C6CAF">
      <w:r>
        <w:separator/>
      </w:r>
    </w:p>
  </w:endnote>
  <w:endnote w:type="continuationSeparator" w:id="0">
    <w:p w:rsidR="005C6CAF" w:rsidRDefault="005C6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Roboto">
    <w:altName w:val="Arial"/>
    <w:charset w:val="EE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3A7" w:rsidRDefault="007536E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C03A7" w:rsidRDefault="005C6CAF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3A7" w:rsidRPr="003F2378" w:rsidRDefault="007536E9" w:rsidP="00BB22FE">
    <w:pPr>
      <w:pStyle w:val="Stopka"/>
      <w:rPr>
        <w:b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B357378" wp14:editId="3C9B95D7">
              <wp:simplePos x="0" y="0"/>
              <wp:positionH relativeFrom="column">
                <wp:posOffset>-177165</wp:posOffset>
              </wp:positionH>
              <wp:positionV relativeFrom="paragraph">
                <wp:posOffset>-92105</wp:posOffset>
              </wp:positionV>
              <wp:extent cx="3096000" cy="381600"/>
              <wp:effectExtent l="0" t="0" r="952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000" cy="381600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03A7" w:rsidRPr="00F20F8E" w:rsidRDefault="007536E9" w:rsidP="00BB22FE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:rsidR="00CC03A7" w:rsidRPr="00F20F8E" w:rsidRDefault="007536E9" w:rsidP="00BB22FE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357378" id="Group 18" o:spid="_x0000_s1026" style="position:absolute;margin-left:-13.95pt;margin-top:-7.25pt;width:243.8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hwtYSBAAAeQkAAA4AAABkcnMvZTJvRG9jLnhtbJxW227bOBB9X2D/&#10;gdC7YsqSrQtiF44vQYFuN9i2zwVNURdUErUkHTu76L/vDCnFcRKg2QSIweFlOHPOmaGuP5zahtwL&#10;pWvZLbzginpEdFzmdVcuvG9fd37iEW1Yl7NGdmLhPQjtfVj+/tv1sc/EVFayyYUi4KTT2bFfeJUx&#10;fTaZaF6Jlukr2YsOFgupWmbAVOUkV+wI3ttmMqV0PjlKlfdKcqE1zG7core0/otCcPNnUWhhSLPw&#10;IDZjf5X93ePvZHnNslKxvqr5EAZ7RxQtqzu49NHVhhlGDqp+4aqtuZJaFuaKy3Yii6LmwuYA2QT0&#10;WTa3Sh56m0uZHcv+ESaA9hlO73bLP9/fKVLnwJ1HOtYCRfZWEiSIzbEvM9hyq/ov/Z1yCcLwk+Q/&#10;NCxPnq+jXbrNZH/8Q+bgjx2MtNicCtWiC8ianCwFD48UiJMhHCZDms4pBaY4rIVJAIbjiFdAJB4L&#10;aAqhwmowS2IbJMt4tR3OR0kcu8NzGuDJCcvcvTbWIbbldV/zDP4HSGH0AtJfSw9OmYMS3uCkfZOP&#10;lqkfh94H9ntm6n3d1ObBKhkgwqC6+7uaI9RonNmZjuzAKl5KgrlHcqE5aLmRpfy8/a7KPSY8nnNe&#10;GGZp6SKdXFesK8VK91AWjvBxSil5rATLNU4japderHkR2b6p+13dNMgnjgcMIJpnynwFRqf6jeSH&#10;VnTGlbESDcAhO13VvfaIykS7F6BK9TEPrHhAIJ+0wetQKra0/p0mK0rT6Y2/ntG1H9F466/SKPZj&#10;uo0jGiXBOlj/xNNBlB20ABhYs+nrIVaYfRHtq3U0dBxXobbSyT2z/cTpCwKyOhtDBMkhJBirVvwv&#10;ABv2wdgoYXiFwwKQG+Zh8+OChfmMLHKgoex+WUlPSiKlc1cviBIWVBKGrh5mcXhRD6AMpc2tkC3B&#10;AUANgVqo2T0g7VIbt2DQnUTCbSpNdzEBObiZEYGnJKU03SbbJPKj6XwLJOW5v9qtI3++C+LZJtys&#10;15vg5zlmx2waTCN6M0393TyJ/aiIZn4a08SnQXoDDSJKo83OHoKrx0steojXIF+ADxsYvCt6lCdY&#10;b6McX5XXOvKXivUCQEK35+IEhF3r/Iqo38gTCWLMaNiFrZOYE8xjdVkpuA56LskX9ffkqPPzJiFM&#10;aQit87I3jkII0xDeYmyrs7mNDqAbO/JI8xuVoGVT52P1a+g760a5ktjZv0FnF9v+l2Tewz4i5tjH&#10;kTntTwMDe5k/AAFKgsYBHfhYgUEl1T8eOcLDv/D03weGbbz52GH/iyL7ABlrhe41UtaA0/txwDoO&#10;Phae8Ygbrg1YsOPQq7qs4ApHdSdX8P4VtS0ojMyFAxpFA6RpR/Z9t01k+BbBD4intt11/mJa/gcA&#10;AP//AwBQSwMEFAAGAAgAAAAhAI4iCUK6AAAAIQEAABkAAABkcnMvX3JlbHMvZTJvRG9jLnhtbC5y&#10;ZWxzhI/LCsIwEEX3gv8QZm/TuhCRpt2I0K3UDxiSaRtsHiRR7N8bcGNBcDn3cs9h6vZlZvakELWz&#10;AqqiBEZWOqXtKODWX3ZHYDGhVTg7SwIWitA22019pRlTHsVJ+8gyxUYBU0r+xHmUExmMhfNkczO4&#10;YDDlM4zco7zjSHxflgcevhnQrJisUwJCpypg/eKz+T/bDYOWdHbyYcimHwquTXZnIIaRkgBDSuMn&#10;rAoyA/Cm5qvHmjcAAAD//wMAUEsDBBQABgAIAAAAIQDS1jqe4QAAAAoBAAAPAAAAZHJzL2Rvd25y&#10;ZXYueG1sTI/BTsJAEIbvJr7DZky8wbZIQWq3hBD1REwEE+Nt6Q5tQ3e26S5teXuHk97+yXz555ts&#10;PdpG9Nj52pGCeBqBQCqcqalU8HV4mzyD8EGT0Y0jVHBFD+v8/i7TqXEDfWK/D6XgEvKpVlCF0KZS&#10;+qJCq/3UtUi8O7nO6sBjV0rT6YHLbSNnUbSQVtfEFyrd4rbC4ry/WAXvgx42T/FrvzufttefQ/Lx&#10;vYtRqceHcfMCIuAY/mC46bM65Ox0dBcyXjQKJrPlilEO8TwBwcQ8WS1BHG9hATLP5P8X8l8AAAD/&#10;/wMAUEsDBBQABgAIAAAAIQCA5fu/rgQAAPgIAAAUAAAAZHJzL21lZGlhL2ltYWdlMS5lbWak1Q9M&#10;VVUcB/Bz7/39zu++REAUxiCVtECKhDnLjSeGuUemz9VWm2gxhXxUZJOA11IpkkhartqshbpKqzdd&#10;LjTL6ZzOrfLPoq3EzbbKWGuUBBRSLk0D+57nvU9nbo1554dz77nnz+/8znlXSynVAPfCg5ZSx22l&#10;RjlK/eoqtSZfqcnlSmUuUSontKBMKUudQ/1ctCUYDXh96TIV6FeKMU7jdrZaplaoKhVROeoBtVLV&#10;Y5aIehKlUmMgCTCUSvPu0U3dAKngX6ZNqv+AMuA9f5mh1OMpiNN73iiIk5Uai2fTB0tQeZAJZlxz&#10;tR7Nipe34K9pY+qxLDUdTPsCMJdfYrhrXn5/0ycIZg3ZkAqDyMEWVJTjvhFMTqejYTWkIDcmngHn&#10;Q/e8vdwttfukw9ogFdY0KbQ+1SfV5gRt3S211gkZY4fcb+1jbr9TELB4YmAXZwTe0r+7RfKBO08v&#10;TejiFreGN7mDtMWdiTlMTLPAzLd5rRVXuXL4onGtHCG0+DUqfWm89Ndo6qdAEph8Xb3eQ1hXG9Zc&#10;jnfHIALmDA2g/Anl7SjX2TH2zcC9b7m9nXwr7E1UZ78Mq2EhVdpBmgY9VpA+t1bTHms/tVgx9hXh&#10;3ldvRci3yiqj561cesHS1HmFw9b95PvNyqJ0e9hZBG9Dhz2ZOuxqiNJRey0dsttoJDm8OicNSFo7&#10;Do/JSRhOg8lJI/wMJpc3Ou183I5CJqyhqc6w8zXk0bBTR3dQHa2HPE6jdm5AW/98HcTYQS/fZuzR&#10;GO8xWAKd3tgVTpDynT0Q4HwnxLOdWm6GHyGbzlA2vQfVmClIB2Eka30Icz4MzZhrIZRj/80+459K&#10;9uzWmtJ0Bf/NmtrgDFXwD6SpFXZSjNM5xvs4TJ0o79Qx1qLJ9BmL/iY3GPI/56zUVWrIW3ct3s9B&#10;I/9bZXKajroit4zz3SaI8Qm57Bt5jU/Ko9wtM/kLWcFvSjvfBX/odu7QUbgVmqhChpwhyHOHnMUu&#10;U9RNphKMi6kTv+9+fGeKvTjM/i5FHCb/n6A0+ccnST0rxTRJPoKbeJLM50Kp5Sp4F7olm/+RjynD&#10;LU1w3SCdR59+GMleXH3uwjgbKYjPxPUS9MA5xPQKvI/4zBm6xxkvIWcqlMBz8oyzUXbDKcihVplH&#10;yyVEnyUkU5d85fTIOsiB/fZ+mANr9H1OHw9BmPp4K4neSpVwQR9xUiQM/pkdRFzF+lJcpYhhPOIZ&#10;i3giKM0+mm/6NqdYP+W06kXOEb0LCmgv1ECZTqNiPYj315ObJMxf48XwBubDJzGemxTMvwUmoO4i&#10;R/QgP6K7YR0s4n16LotkcVfC68iHr5uqtK+fZuk/KUufpb/4ab5sGS/WvmaeoA9yL5Pu5TSYqPv4&#10;Nj3A/hm7nvUdwb4XeXtfi7Wc9da3A2sze29+H7ulSXbKPtkhXXLzFXLlsBTKBpkhT8g42S7f6R5Z&#10;BZnwC2+DBVCntyPmiPTyO3BKznDAtbQfu7/XYcQQ8vJszmEu5s6ARngRzO/jex3SUX0AZklU10iL&#10;flX2wgUokSIplwO6XuYnVEuZLpeQDsP/5WgKxk8CTJX4fwvHL/5tGofSXKlg7v8FAAD//wMAUEsB&#10;Ai0AFAAGAAgAAAAhAKbmUfsMAQAAFQIAABMAAAAAAAAAAAAAAAAAAAAAAFtDb250ZW50X1R5cGVz&#10;XS54bWxQSwECLQAUAAYACAAAACEAOP0h/9YAAACUAQAACwAAAAAAAAAAAAAAAAA9AQAAX3JlbHMv&#10;LnJlbHNQSwECLQAUAAYACAAAACEA+eHC1hIEAAB5CQAADgAAAAAAAAAAAAAAAAA8AgAAZHJzL2Uy&#10;b0RvYy54bWxQSwECLQAUAAYACAAAACEAjiIJQroAAAAhAQAAGQAAAAAAAAAAAAAAAAB6BgAAZHJz&#10;L19yZWxzL2Uyb0RvYy54bWwucmVsc1BLAQItABQABgAIAAAAIQDS1jqe4QAAAAoBAAAPAAAAAAAA&#10;AAAAAAAAAGsHAABkcnMvZG93bnJldi54bWxQSwECLQAUAAYACAAAACEAgOX7v64EAAD4CAAAFAAA&#10;AAAAAAAAAAAAAAB5CAAAZHJzL21lZGlhL2ltYWdlMS5lbWZQSwUGAAAAAAYABgB8AQAAWQ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:rsidR="00CC03A7" w:rsidRPr="00F20F8E" w:rsidRDefault="007536E9" w:rsidP="00BB22FE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:rsidR="00CC03A7" w:rsidRPr="00F20F8E" w:rsidRDefault="007536E9" w:rsidP="00BB22FE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>
      <w:ptab w:relativeTo="margin" w:alignment="center" w:leader="none"/>
    </w:r>
    <w:r>
      <w:ptab w:relativeTo="margin" w:alignment="right" w:leader="none"/>
    </w:r>
    <w:r w:rsidRPr="003F2378">
      <w:rPr>
        <w:b/>
      </w:rPr>
      <w:fldChar w:fldCharType="begin"/>
    </w:r>
    <w:r w:rsidRPr="003F2378">
      <w:rPr>
        <w:b/>
      </w:rPr>
      <w:instrText>PAGE   \* MERGEFORMAT</w:instrText>
    </w:r>
    <w:r w:rsidRPr="003F2378">
      <w:rPr>
        <w:b/>
      </w:rPr>
      <w:fldChar w:fldCharType="separate"/>
    </w:r>
    <w:r>
      <w:rPr>
        <w:b/>
        <w:noProof/>
      </w:rPr>
      <w:t>17</w:t>
    </w:r>
    <w:r w:rsidRPr="003F2378">
      <w:rPr>
        <w:b/>
      </w:rPr>
      <w:fldChar w:fldCharType="end"/>
    </w:r>
  </w:p>
  <w:p w:rsidR="00CC03A7" w:rsidRDefault="005C6CAF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CAF" w:rsidRDefault="005C6CAF">
      <w:r>
        <w:separator/>
      </w:r>
    </w:p>
  </w:footnote>
  <w:footnote w:type="continuationSeparator" w:id="0">
    <w:p w:rsidR="005C6CAF" w:rsidRDefault="005C6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3A7" w:rsidRDefault="005C6CAF" w:rsidP="00826A3E">
    <w:pPr>
      <w:pStyle w:val="Nagwek"/>
      <w:jc w:val="right"/>
    </w:pPr>
  </w:p>
  <w:p w:rsidR="00CC03A7" w:rsidRPr="00826A3E" w:rsidRDefault="005C6CAF" w:rsidP="00826A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C97EA3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6B1D71"/>
    <w:multiLevelType w:val="hybridMultilevel"/>
    <w:tmpl w:val="5D0C191E"/>
    <w:lvl w:ilvl="0" w:tplc="B84EFC92"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1343F"/>
    <w:multiLevelType w:val="hybridMultilevel"/>
    <w:tmpl w:val="06DEBB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 w15:restartNumberingAfterBreak="0">
    <w:nsid w:val="068851AC"/>
    <w:multiLevelType w:val="hybridMultilevel"/>
    <w:tmpl w:val="D8A83B7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F6CE3"/>
    <w:multiLevelType w:val="hybridMultilevel"/>
    <w:tmpl w:val="2E9C8AE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08706184"/>
    <w:multiLevelType w:val="hybridMultilevel"/>
    <w:tmpl w:val="B092564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09510D54"/>
    <w:multiLevelType w:val="hybridMultilevel"/>
    <w:tmpl w:val="27380CE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095C2DB4"/>
    <w:multiLevelType w:val="hybridMultilevel"/>
    <w:tmpl w:val="4014B54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B6E63"/>
    <w:multiLevelType w:val="hybridMultilevel"/>
    <w:tmpl w:val="1054A2A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07E22"/>
    <w:multiLevelType w:val="hybridMultilevel"/>
    <w:tmpl w:val="68CA7928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957337"/>
    <w:multiLevelType w:val="hybridMultilevel"/>
    <w:tmpl w:val="27569152"/>
    <w:lvl w:ilvl="0" w:tplc="0415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B228A"/>
    <w:multiLevelType w:val="hybridMultilevel"/>
    <w:tmpl w:val="5E08BB7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2" w15:restartNumberingAfterBreak="0">
    <w:nsid w:val="1A4D2395"/>
    <w:multiLevelType w:val="hybridMultilevel"/>
    <w:tmpl w:val="7F7408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3" w15:restartNumberingAfterBreak="0">
    <w:nsid w:val="1AB54FB6"/>
    <w:multiLevelType w:val="hybridMultilevel"/>
    <w:tmpl w:val="8F7E6E7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4" w15:restartNumberingAfterBreak="0">
    <w:nsid w:val="1CC86775"/>
    <w:multiLevelType w:val="hybridMultilevel"/>
    <w:tmpl w:val="7C5064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30700"/>
    <w:multiLevelType w:val="hybridMultilevel"/>
    <w:tmpl w:val="536A8056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A263D7"/>
    <w:multiLevelType w:val="hybridMultilevel"/>
    <w:tmpl w:val="07FCA69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2B0359"/>
    <w:multiLevelType w:val="hybridMultilevel"/>
    <w:tmpl w:val="30A4559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E62CDE"/>
    <w:multiLevelType w:val="hybridMultilevel"/>
    <w:tmpl w:val="16D89E3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9" w15:restartNumberingAfterBreak="0">
    <w:nsid w:val="2E442D95"/>
    <w:multiLevelType w:val="hybridMultilevel"/>
    <w:tmpl w:val="E98637D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0" w15:restartNumberingAfterBreak="0">
    <w:nsid w:val="2E5C3271"/>
    <w:multiLevelType w:val="hybridMultilevel"/>
    <w:tmpl w:val="CFEC19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1" w15:restartNumberingAfterBreak="0">
    <w:nsid w:val="2E5F2DC2"/>
    <w:multiLevelType w:val="hybridMultilevel"/>
    <w:tmpl w:val="50BA50C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2" w15:restartNumberingAfterBreak="0">
    <w:nsid w:val="2EB0486D"/>
    <w:multiLevelType w:val="hybridMultilevel"/>
    <w:tmpl w:val="646AB8A2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E738E"/>
    <w:multiLevelType w:val="hybridMultilevel"/>
    <w:tmpl w:val="E31C5E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4" w15:restartNumberingAfterBreak="0">
    <w:nsid w:val="372C5C22"/>
    <w:multiLevelType w:val="hybridMultilevel"/>
    <w:tmpl w:val="957054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5" w15:restartNumberingAfterBreak="0">
    <w:nsid w:val="37382E4F"/>
    <w:multiLevelType w:val="hybridMultilevel"/>
    <w:tmpl w:val="FC7E010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6" w15:restartNumberingAfterBreak="0">
    <w:nsid w:val="375164C1"/>
    <w:multiLevelType w:val="hybridMultilevel"/>
    <w:tmpl w:val="F864DFF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7" w15:restartNumberingAfterBreak="0">
    <w:nsid w:val="44C90DAE"/>
    <w:multiLevelType w:val="hybridMultilevel"/>
    <w:tmpl w:val="22F803C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8" w15:restartNumberingAfterBreak="0">
    <w:nsid w:val="494C27AF"/>
    <w:multiLevelType w:val="hybridMultilevel"/>
    <w:tmpl w:val="221ABE6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9" w15:restartNumberingAfterBreak="0">
    <w:nsid w:val="4A6D6E25"/>
    <w:multiLevelType w:val="hybridMultilevel"/>
    <w:tmpl w:val="C0ECD252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B539A9"/>
    <w:multiLevelType w:val="hybridMultilevel"/>
    <w:tmpl w:val="93C6925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3904BA"/>
    <w:multiLevelType w:val="hybridMultilevel"/>
    <w:tmpl w:val="17C06A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2" w15:restartNumberingAfterBreak="0">
    <w:nsid w:val="4D0A2DBA"/>
    <w:multiLevelType w:val="hybridMultilevel"/>
    <w:tmpl w:val="DE608E96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AA4FC8"/>
    <w:multiLevelType w:val="hybridMultilevel"/>
    <w:tmpl w:val="F22C2EB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4" w15:restartNumberingAfterBreak="0">
    <w:nsid w:val="542C56CB"/>
    <w:multiLevelType w:val="hybridMultilevel"/>
    <w:tmpl w:val="DE10AB1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5" w15:restartNumberingAfterBreak="0">
    <w:nsid w:val="5E396D67"/>
    <w:multiLevelType w:val="hybridMultilevel"/>
    <w:tmpl w:val="A50646B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3273BE"/>
    <w:multiLevelType w:val="hybridMultilevel"/>
    <w:tmpl w:val="40ECEC3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0E6427"/>
    <w:multiLevelType w:val="hybridMultilevel"/>
    <w:tmpl w:val="F4B2F4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8" w15:restartNumberingAfterBreak="0">
    <w:nsid w:val="63336780"/>
    <w:multiLevelType w:val="hybridMultilevel"/>
    <w:tmpl w:val="E96EC90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0F5CB6"/>
    <w:multiLevelType w:val="hybridMultilevel"/>
    <w:tmpl w:val="E10898EA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A3499D"/>
    <w:multiLevelType w:val="hybridMultilevel"/>
    <w:tmpl w:val="9532398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1" w15:restartNumberingAfterBreak="0">
    <w:nsid w:val="68443375"/>
    <w:multiLevelType w:val="hybridMultilevel"/>
    <w:tmpl w:val="9ABA4178"/>
    <w:lvl w:ilvl="0" w:tplc="EA4015E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42" w15:restartNumberingAfterBreak="0">
    <w:nsid w:val="6FCD5887"/>
    <w:multiLevelType w:val="hybridMultilevel"/>
    <w:tmpl w:val="008408C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346B2E"/>
    <w:multiLevelType w:val="hybridMultilevel"/>
    <w:tmpl w:val="2DF206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4" w15:restartNumberingAfterBreak="0">
    <w:nsid w:val="774976CA"/>
    <w:multiLevelType w:val="hybridMultilevel"/>
    <w:tmpl w:val="E32C9B6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6D3FDB"/>
    <w:multiLevelType w:val="hybridMultilevel"/>
    <w:tmpl w:val="0600856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6" w15:restartNumberingAfterBreak="0">
    <w:nsid w:val="7D8A7E08"/>
    <w:multiLevelType w:val="hybridMultilevel"/>
    <w:tmpl w:val="A40AB6A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7" w15:restartNumberingAfterBreak="0">
    <w:nsid w:val="7ED748E2"/>
    <w:multiLevelType w:val="hybridMultilevel"/>
    <w:tmpl w:val="9450437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F310F0"/>
    <w:multiLevelType w:val="hybridMultilevel"/>
    <w:tmpl w:val="E58845C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3"/>
  </w:num>
  <w:num w:numId="3">
    <w:abstractNumId w:val="5"/>
  </w:num>
  <w:num w:numId="4">
    <w:abstractNumId w:val="43"/>
  </w:num>
  <w:num w:numId="5">
    <w:abstractNumId w:val="28"/>
  </w:num>
  <w:num w:numId="6">
    <w:abstractNumId w:val="37"/>
  </w:num>
  <w:num w:numId="7">
    <w:abstractNumId w:val="13"/>
  </w:num>
  <w:num w:numId="8">
    <w:abstractNumId w:val="48"/>
  </w:num>
  <w:num w:numId="9">
    <w:abstractNumId w:val="25"/>
  </w:num>
  <w:num w:numId="10">
    <w:abstractNumId w:val="26"/>
  </w:num>
  <w:num w:numId="11">
    <w:abstractNumId w:val="24"/>
  </w:num>
  <w:num w:numId="12">
    <w:abstractNumId w:val="11"/>
  </w:num>
  <w:num w:numId="13">
    <w:abstractNumId w:val="31"/>
  </w:num>
  <w:num w:numId="14">
    <w:abstractNumId w:val="2"/>
  </w:num>
  <w:num w:numId="15">
    <w:abstractNumId w:val="33"/>
  </w:num>
  <w:num w:numId="16">
    <w:abstractNumId w:val="6"/>
  </w:num>
  <w:num w:numId="17">
    <w:abstractNumId w:val="12"/>
  </w:num>
  <w:num w:numId="18">
    <w:abstractNumId w:val="21"/>
  </w:num>
  <w:num w:numId="19">
    <w:abstractNumId w:val="45"/>
  </w:num>
  <w:num w:numId="20">
    <w:abstractNumId w:val="20"/>
  </w:num>
  <w:num w:numId="21">
    <w:abstractNumId w:val="19"/>
  </w:num>
  <w:num w:numId="22">
    <w:abstractNumId w:val="18"/>
  </w:num>
  <w:num w:numId="23">
    <w:abstractNumId w:val="40"/>
  </w:num>
  <w:num w:numId="24">
    <w:abstractNumId w:val="27"/>
  </w:num>
  <w:num w:numId="25">
    <w:abstractNumId w:val="4"/>
  </w:num>
  <w:num w:numId="26">
    <w:abstractNumId w:val="46"/>
  </w:num>
  <w:num w:numId="27">
    <w:abstractNumId w:val="34"/>
  </w:num>
  <w:num w:numId="28">
    <w:abstractNumId w:val="16"/>
  </w:num>
  <w:num w:numId="29">
    <w:abstractNumId w:val="35"/>
  </w:num>
  <w:num w:numId="30">
    <w:abstractNumId w:val="14"/>
  </w:num>
  <w:num w:numId="31">
    <w:abstractNumId w:val="3"/>
  </w:num>
  <w:num w:numId="32">
    <w:abstractNumId w:val="38"/>
  </w:num>
  <w:num w:numId="33">
    <w:abstractNumId w:val="36"/>
  </w:num>
  <w:num w:numId="34">
    <w:abstractNumId w:val="29"/>
  </w:num>
  <w:num w:numId="35">
    <w:abstractNumId w:val="7"/>
  </w:num>
  <w:num w:numId="36">
    <w:abstractNumId w:val="42"/>
  </w:num>
  <w:num w:numId="37">
    <w:abstractNumId w:val="9"/>
  </w:num>
  <w:num w:numId="38">
    <w:abstractNumId w:val="22"/>
  </w:num>
  <w:num w:numId="39">
    <w:abstractNumId w:val="10"/>
  </w:num>
  <w:num w:numId="40">
    <w:abstractNumId w:val="30"/>
  </w:num>
  <w:num w:numId="41">
    <w:abstractNumId w:val="39"/>
  </w:num>
  <w:num w:numId="42">
    <w:abstractNumId w:val="8"/>
  </w:num>
  <w:num w:numId="43">
    <w:abstractNumId w:val="17"/>
  </w:num>
  <w:num w:numId="44">
    <w:abstractNumId w:val="44"/>
  </w:num>
  <w:num w:numId="45">
    <w:abstractNumId w:val="15"/>
  </w:num>
  <w:num w:numId="46">
    <w:abstractNumId w:val="1"/>
  </w:num>
  <w:num w:numId="47">
    <w:abstractNumId w:val="47"/>
  </w:num>
  <w:num w:numId="48">
    <w:abstractNumId w:val="41"/>
  </w:num>
  <w:num w:numId="4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6E9"/>
    <w:rsid w:val="00312725"/>
    <w:rsid w:val="005C6CAF"/>
    <w:rsid w:val="007536E9"/>
    <w:rsid w:val="0096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2921F"/>
  <w15:chartTrackingRefBased/>
  <w15:docId w15:val="{04FCF07A-70DB-43B1-B927-9AA8D4FA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3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536E9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7536E9"/>
    <w:pPr>
      <w:keepNext/>
      <w:jc w:val="center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536E9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536E9"/>
    <w:pPr>
      <w:keepNext/>
      <w:outlineLvl w:val="4"/>
    </w:pPr>
    <w:rPr>
      <w:b/>
      <w:sz w:val="28"/>
      <w:szCs w:val="2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7536E9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7536E9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7536E9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rsid w:val="007536E9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9"/>
    <w:rsid w:val="007536E9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9"/>
    <w:rsid w:val="007536E9"/>
    <w:rPr>
      <w:rFonts w:ascii="Times New Roman" w:eastAsia="Times New Roman" w:hAnsi="Times New Roman" w:cs="Times New Roman"/>
      <w:b/>
      <w:bCs/>
      <w:lang w:eastAsia="pl-PL"/>
    </w:rPr>
  </w:style>
  <w:style w:type="paragraph" w:styleId="Tytu">
    <w:name w:val="Title"/>
    <w:basedOn w:val="Normalny"/>
    <w:link w:val="TytuZnak"/>
    <w:uiPriority w:val="99"/>
    <w:qFormat/>
    <w:rsid w:val="007536E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uiPriority w:val="99"/>
    <w:rsid w:val="007536E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7536E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7536E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aliases w:val="Stopka numer strony"/>
    <w:basedOn w:val="Normalny"/>
    <w:link w:val="StopkaZnak"/>
    <w:uiPriority w:val="99"/>
    <w:rsid w:val="007536E9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opka numer strony Znak"/>
    <w:basedOn w:val="Domylnaczcionkaakapitu"/>
    <w:link w:val="Stopka"/>
    <w:uiPriority w:val="99"/>
    <w:rsid w:val="007536E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7536E9"/>
    <w:rPr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536E9"/>
    <w:rPr>
      <w:rFonts w:ascii="Times New Roman" w:eastAsia="Times New Roman" w:hAnsi="Times New Roman" w:cs="Times New Roman"/>
      <w:szCs w:val="20"/>
      <w:lang w:eastAsia="pl-PL"/>
    </w:rPr>
  </w:style>
  <w:style w:type="character" w:styleId="Numerstrony">
    <w:name w:val="page number"/>
    <w:basedOn w:val="Domylnaczcionkaakapitu"/>
    <w:uiPriority w:val="99"/>
    <w:rsid w:val="007536E9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7536E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536E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7536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36E9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uiPriority w:val="99"/>
    <w:rsid w:val="007536E9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uiPriority w:val="99"/>
    <w:qFormat/>
    <w:rsid w:val="007536E9"/>
    <w:pPr>
      <w:ind w:left="720"/>
      <w:contextualSpacing/>
    </w:pPr>
  </w:style>
  <w:style w:type="paragraph" w:styleId="Lista">
    <w:name w:val="List"/>
    <w:basedOn w:val="Normalny"/>
    <w:uiPriority w:val="99"/>
    <w:rsid w:val="007536E9"/>
    <w:pPr>
      <w:ind w:left="283" w:hanging="283"/>
      <w:contextualSpacing/>
    </w:pPr>
  </w:style>
  <w:style w:type="paragraph" w:styleId="Listapunktowana2">
    <w:name w:val="List Bullet 2"/>
    <w:basedOn w:val="Normalny"/>
    <w:uiPriority w:val="99"/>
    <w:rsid w:val="007536E9"/>
    <w:pPr>
      <w:tabs>
        <w:tab w:val="num" w:pos="643"/>
        <w:tab w:val="num" w:pos="720"/>
      </w:tabs>
      <w:ind w:left="643" w:hanging="360"/>
      <w:contextualSpacing/>
    </w:pPr>
  </w:style>
  <w:style w:type="paragraph" w:styleId="Podtytu">
    <w:name w:val="Subtitle"/>
    <w:basedOn w:val="Normalny"/>
    <w:next w:val="Normalny"/>
    <w:link w:val="PodtytuZnak"/>
    <w:uiPriority w:val="99"/>
    <w:qFormat/>
    <w:rsid w:val="007536E9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99"/>
    <w:rsid w:val="007536E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rsid w:val="007536E9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7536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536E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7536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536E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536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lArial20">
    <w:name w:val="Tytul Arial 20"/>
    <w:basedOn w:val="Nagwek2"/>
    <w:link w:val="TytulArial20Znak"/>
    <w:uiPriority w:val="99"/>
    <w:rsid w:val="007536E9"/>
    <w:pPr>
      <w:spacing w:line="276" w:lineRule="auto"/>
    </w:pPr>
    <w:rPr>
      <w:rFonts w:ascii="Arial" w:hAnsi="Arial" w:cs="Arial"/>
      <w:color w:val="92D050"/>
      <w:sz w:val="40"/>
      <w:szCs w:val="40"/>
    </w:rPr>
  </w:style>
  <w:style w:type="paragraph" w:customStyle="1" w:styleId="PodtytulArial14">
    <w:name w:val="Podtytul Arial 14"/>
    <w:basedOn w:val="TytulArial20"/>
    <w:link w:val="PodtytulArial14Znak"/>
    <w:uiPriority w:val="99"/>
    <w:rsid w:val="007536E9"/>
    <w:pPr>
      <w:spacing w:before="0"/>
    </w:pPr>
    <w:rPr>
      <w:sz w:val="28"/>
      <w:szCs w:val="28"/>
    </w:rPr>
  </w:style>
  <w:style w:type="character" w:customStyle="1" w:styleId="TytulArial20Znak">
    <w:name w:val="Tytul Arial 20 Znak"/>
    <w:basedOn w:val="Nagwek2Znak"/>
    <w:link w:val="TytulArial20"/>
    <w:uiPriority w:val="99"/>
    <w:locked/>
    <w:rsid w:val="007536E9"/>
    <w:rPr>
      <w:rFonts w:ascii="Arial" w:eastAsia="Times New Roman" w:hAnsi="Arial" w:cs="Arial"/>
      <w:b/>
      <w:bCs/>
      <w:color w:val="92D050"/>
      <w:sz w:val="40"/>
      <w:szCs w:val="40"/>
      <w:lang w:eastAsia="pl-PL"/>
    </w:rPr>
  </w:style>
  <w:style w:type="character" w:customStyle="1" w:styleId="PodtytulArial14Znak">
    <w:name w:val="Podtytul Arial 14 Znak"/>
    <w:basedOn w:val="TytulArial20Znak"/>
    <w:link w:val="PodtytulArial14"/>
    <w:uiPriority w:val="99"/>
    <w:locked/>
    <w:rsid w:val="007536E9"/>
    <w:rPr>
      <w:rFonts w:ascii="Arial" w:eastAsia="Times New Roman" w:hAnsi="Arial" w:cs="Arial"/>
      <w:b/>
      <w:bCs/>
      <w:color w:val="92D050"/>
      <w:sz w:val="28"/>
      <w:szCs w:val="28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7536E9"/>
    <w:rPr>
      <w:color w:val="808080"/>
    </w:rPr>
  </w:style>
  <w:style w:type="paragraph" w:customStyle="1" w:styleId="StronaTytuowaAutorzy">
    <w:name w:val="Strona Tytułowa Autorzy"/>
    <w:qFormat/>
    <w:rsid w:val="007536E9"/>
    <w:pPr>
      <w:spacing w:after="0" w:line="240" w:lineRule="auto"/>
      <w:jc w:val="center"/>
    </w:pPr>
    <w:rPr>
      <w:rFonts w:ascii="Roboto Light" w:eastAsia="Calibri" w:hAnsi="Roboto Light" w:cs="Times New Roman"/>
      <w:color w:val="000000" w:themeColor="text1"/>
      <w:sz w:val="32"/>
      <w:szCs w:val="32"/>
    </w:rPr>
  </w:style>
  <w:style w:type="paragraph" w:customStyle="1" w:styleId="StronaTytuowaTytu">
    <w:name w:val="Strona Tytułowa Tytuł"/>
    <w:qFormat/>
    <w:rsid w:val="007536E9"/>
    <w:pPr>
      <w:suppressAutoHyphens/>
      <w:spacing w:after="0" w:line="240" w:lineRule="auto"/>
      <w:jc w:val="center"/>
    </w:pPr>
    <w:rPr>
      <w:rFonts w:ascii="Roboto" w:eastAsia="Calibri" w:hAnsi="Roboto" w:cs="Times New Roman"/>
      <w:sz w:val="64"/>
    </w:rPr>
  </w:style>
  <w:style w:type="paragraph" w:customStyle="1" w:styleId="StronaTytuowaCopyright">
    <w:name w:val="Strona Tytułowa Copyright"/>
    <w:basedOn w:val="Normalny"/>
    <w:qFormat/>
    <w:rsid w:val="007536E9"/>
    <w:pPr>
      <w:spacing w:line="276" w:lineRule="auto"/>
      <w:jc w:val="center"/>
      <w:textboxTightWrap w:val="allLines"/>
    </w:pPr>
    <w:rPr>
      <w:rFonts w:ascii="Roboto Light" w:eastAsia="Calibri" w:hAnsi="Roboto Light"/>
      <w:iCs/>
      <w:color w:val="000000"/>
      <w:sz w:val="20"/>
      <w:szCs w:val="20"/>
      <w:lang w:eastAsia="en-US"/>
    </w:rPr>
  </w:style>
  <w:style w:type="paragraph" w:customStyle="1" w:styleId="StopkaCopyright">
    <w:name w:val="Stopka Copyright"/>
    <w:basedOn w:val="Normalny"/>
    <w:qFormat/>
    <w:rsid w:val="007536E9"/>
    <w:pPr>
      <w:jc w:val="both"/>
    </w:pPr>
    <w:rPr>
      <w:rFonts w:ascii="Roboto" w:eastAsia="Calibri" w:hAnsi="Roboto"/>
      <w:iCs/>
      <w:color w:val="000000" w:themeColor="text1"/>
      <w:sz w:val="16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3436</Words>
  <Characters>20619</Characters>
  <Application>Microsoft Office Word</Application>
  <DocSecurity>0</DocSecurity>
  <Lines>171</Lines>
  <Paragraphs>48</Paragraphs>
  <ScaleCrop>false</ScaleCrop>
  <Company/>
  <LinksUpToDate>false</LinksUpToDate>
  <CharactersWithSpaces>24007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Agusia</dc:creator>
  <cp:keywords/>
  <dc:description/>
  <cp:lastModifiedBy>Agusia</cp:lastModifiedBy>
  <cp:revision>2</cp:revision>
  <dcterms:created xsi:type="dcterms:W3CDTF">2026-09-20T20:22:00Z</dcterms:created>
  <dcterms:modified xsi:type="dcterms:W3CDTF">2026-09-20T20:34:00Z</dcterms:modified>
</cp:coreProperties>
</file>